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黑体" w:hAnsi="宋体" w:eastAsia="黑体" w:cs="宋体"/>
          <w:kern w:val="0"/>
          <w:sz w:val="28"/>
          <w:szCs w:val="28"/>
          <w:lang w:val="en-US" w:eastAsia="zh-CN"/>
        </w:rPr>
      </w:pPr>
      <w:r>
        <w:rPr>
          <w:rFonts w:hint="eastAsia" w:ascii="黑体" w:hAnsi="宋体" w:eastAsia="黑体" w:cs="宋体"/>
          <w:kern w:val="0"/>
          <w:sz w:val="28"/>
          <w:szCs w:val="28"/>
          <w:lang w:val="en-US" w:eastAsia="zh-CN"/>
        </w:rPr>
        <w:t xml:space="preserve">            </w:t>
      </w: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rPr>
          <w:rFonts w:hint="eastAsia" w:ascii="黑体" w:hAnsi="黑体" w:eastAsia="黑体" w:cs="黑体"/>
          <w:sz w:val="52"/>
          <w:szCs w:val="52"/>
        </w:rPr>
      </w:pPr>
      <w:r>
        <w:rPr>
          <w:rFonts w:hint="eastAsia" w:ascii="黑体" w:hAnsi="黑体" w:eastAsia="黑体" w:cs="黑体"/>
          <w:sz w:val="52"/>
          <w:szCs w:val="52"/>
        </w:rPr>
        <w:t>2018年度</w:t>
      </w:r>
    </w:p>
    <w:p>
      <w:pPr>
        <w:jc w:val="center"/>
        <w:rPr>
          <w:rFonts w:hint="eastAsia" w:ascii="黑体" w:hAnsi="黑体" w:eastAsia="黑体" w:cs="黑体"/>
          <w:sz w:val="52"/>
          <w:szCs w:val="52"/>
        </w:rPr>
      </w:pPr>
      <w:r>
        <w:rPr>
          <w:rFonts w:hint="eastAsia" w:ascii="黑体" w:hAnsi="黑体" w:eastAsia="黑体" w:cs="黑体"/>
          <w:sz w:val="52"/>
          <w:szCs w:val="52"/>
        </w:rPr>
        <w:t>河南省许昌市人民检察院部门决算</w:t>
      </w: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32"/>
          <w:szCs w:val="32"/>
        </w:rPr>
        <w:sectPr>
          <w:pgSz w:w="11906" w:h="16838"/>
          <w:pgMar w:top="1440" w:right="1531" w:bottom="1440" w:left="1587" w:header="850" w:footer="992" w:gutter="0"/>
          <w:pgNumType w:fmt="numberInDash"/>
          <w:cols w:space="720" w:num="1"/>
          <w:docGrid w:type="lines" w:linePitch="317" w:charSpace="0"/>
        </w:sectPr>
      </w:pPr>
      <w:r>
        <w:rPr>
          <w:rFonts w:hint="eastAsia" w:ascii="黑体" w:hAnsi="黑体" w:eastAsia="黑体" w:cs="黑体"/>
          <w:sz w:val="32"/>
          <w:szCs w:val="32"/>
        </w:rPr>
        <w:t>二〇一九年八月</w:t>
      </w:r>
    </w:p>
    <w:p>
      <w:pPr>
        <w:jc w:val="center"/>
        <w:rPr>
          <w:rFonts w:ascii="黑体" w:hAnsi="黑体" w:eastAsia="黑体" w:cs="黑体"/>
          <w:sz w:val="36"/>
          <w:szCs w:val="36"/>
        </w:rPr>
      </w:pPr>
      <w:r>
        <w:rPr>
          <w:rFonts w:hint="eastAsia" w:ascii="黑体" w:hAnsi="黑体" w:eastAsia="黑体" w:cs="黑体"/>
          <w:sz w:val="36"/>
          <w:szCs w:val="36"/>
        </w:rPr>
        <w:t>目　　录</w:t>
      </w:r>
    </w:p>
    <w:p>
      <w:pPr>
        <w:jc w:val="left"/>
        <w:rPr>
          <w:rFonts w:ascii="黑体" w:hAnsi="黑体" w:eastAsia="黑体" w:cs="黑体"/>
          <w:sz w:val="32"/>
          <w:szCs w:val="32"/>
        </w:rPr>
      </w:pPr>
      <w:r>
        <w:rPr>
          <w:rFonts w:hint="eastAsia" w:ascii="黑体" w:hAnsi="黑体" w:eastAsia="黑体" w:cs="黑体"/>
          <w:sz w:val="32"/>
          <w:szCs w:val="32"/>
        </w:rPr>
        <w:t>第一部分　　河南省许昌市人民检察院概况</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rPr>
        <w:t>部门职责</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rPr>
        <w:t>机构设置</w:t>
      </w:r>
    </w:p>
    <w:p>
      <w:pPr>
        <w:jc w:val="left"/>
        <w:rPr>
          <w:rFonts w:hint="eastAsia" w:ascii="黑体" w:hAnsi="黑体" w:eastAsia="黑体" w:cs="黑体"/>
          <w:sz w:val="32"/>
          <w:szCs w:val="32"/>
        </w:rPr>
      </w:pPr>
      <w:r>
        <w:rPr>
          <w:rFonts w:hint="eastAsia" w:ascii="黑体" w:hAnsi="黑体" w:eastAsia="黑体" w:cs="黑体"/>
          <w:sz w:val="32"/>
          <w:szCs w:val="32"/>
        </w:rPr>
        <w:t>第二部分　　2018年度部门决算表</w:t>
      </w:r>
    </w:p>
    <w:p>
      <w:pPr>
        <w:ind w:firstLine="640" w:firstLineChars="200"/>
        <w:jc w:val="left"/>
        <w:rPr>
          <w:rFonts w:ascii="宋体" w:hAnsi="宋体" w:cs="宋体"/>
          <w:sz w:val="32"/>
          <w:szCs w:val="32"/>
        </w:rPr>
      </w:pPr>
      <w:r>
        <w:rPr>
          <w:rFonts w:hint="eastAsia" w:ascii="宋体" w:hAnsi="宋体" w:cs="宋体"/>
          <w:sz w:val="32"/>
          <w:szCs w:val="32"/>
        </w:rPr>
        <w:t>一、收入支出决算总表</w:t>
      </w:r>
    </w:p>
    <w:p>
      <w:pPr>
        <w:ind w:firstLine="640" w:firstLineChars="200"/>
        <w:jc w:val="left"/>
        <w:rPr>
          <w:rFonts w:ascii="宋体" w:hAnsi="宋体" w:cs="宋体"/>
          <w:sz w:val="32"/>
          <w:szCs w:val="32"/>
        </w:rPr>
      </w:pPr>
      <w:r>
        <w:rPr>
          <w:rFonts w:hint="eastAsia" w:ascii="宋体" w:hAnsi="宋体" w:cs="宋体"/>
          <w:sz w:val="32"/>
          <w:szCs w:val="32"/>
        </w:rPr>
        <w:t>二、收入决算表</w:t>
      </w:r>
    </w:p>
    <w:p>
      <w:pPr>
        <w:ind w:firstLine="640" w:firstLineChars="200"/>
        <w:jc w:val="left"/>
        <w:rPr>
          <w:rFonts w:ascii="宋体" w:hAnsi="宋体" w:cs="宋体"/>
          <w:sz w:val="32"/>
          <w:szCs w:val="32"/>
        </w:rPr>
      </w:pPr>
      <w:r>
        <w:rPr>
          <w:rFonts w:hint="eastAsia" w:ascii="宋体" w:hAnsi="宋体" w:cs="宋体"/>
          <w:sz w:val="32"/>
          <w:szCs w:val="32"/>
        </w:rPr>
        <w:t>三、支出决算表</w:t>
      </w:r>
    </w:p>
    <w:p>
      <w:pPr>
        <w:ind w:firstLine="640" w:firstLineChars="200"/>
        <w:jc w:val="left"/>
        <w:rPr>
          <w:rFonts w:ascii="宋体" w:hAnsi="宋体" w:cs="宋体"/>
          <w:sz w:val="32"/>
          <w:szCs w:val="32"/>
        </w:rPr>
      </w:pPr>
      <w:r>
        <w:rPr>
          <w:rFonts w:hint="eastAsia" w:ascii="宋体" w:hAnsi="宋体" w:cs="宋体"/>
          <w:sz w:val="32"/>
          <w:szCs w:val="32"/>
        </w:rPr>
        <w:t>四、财政拨款收入支出决算总表</w:t>
      </w:r>
    </w:p>
    <w:p>
      <w:pPr>
        <w:ind w:firstLine="640" w:firstLineChars="200"/>
        <w:jc w:val="left"/>
        <w:rPr>
          <w:rFonts w:ascii="宋体" w:hAnsi="宋体" w:cs="宋体"/>
          <w:sz w:val="32"/>
          <w:szCs w:val="32"/>
        </w:rPr>
      </w:pPr>
      <w:r>
        <w:rPr>
          <w:rFonts w:hint="eastAsia" w:ascii="宋体" w:hAnsi="宋体" w:cs="宋体"/>
          <w:sz w:val="32"/>
          <w:szCs w:val="32"/>
        </w:rPr>
        <w:t>五、一般公共预算财政拨款支出决算表</w:t>
      </w:r>
    </w:p>
    <w:p>
      <w:pPr>
        <w:ind w:firstLine="640" w:firstLineChars="200"/>
        <w:jc w:val="left"/>
        <w:rPr>
          <w:rFonts w:ascii="宋体" w:hAnsi="宋体" w:cs="宋体"/>
          <w:sz w:val="32"/>
          <w:szCs w:val="32"/>
        </w:rPr>
      </w:pPr>
      <w:r>
        <w:rPr>
          <w:rFonts w:hint="eastAsia" w:ascii="宋体" w:hAnsi="宋体" w:cs="宋体"/>
          <w:sz w:val="32"/>
          <w:szCs w:val="32"/>
        </w:rPr>
        <w:t>六、一般公共预算财政拨款基本支出决算表</w:t>
      </w:r>
    </w:p>
    <w:p>
      <w:pPr>
        <w:ind w:firstLine="640" w:firstLineChars="200"/>
        <w:jc w:val="left"/>
        <w:rPr>
          <w:rFonts w:ascii="宋体" w:hAnsi="宋体" w:cs="宋体"/>
          <w:sz w:val="32"/>
          <w:szCs w:val="32"/>
        </w:rPr>
      </w:pPr>
      <w:r>
        <w:rPr>
          <w:rFonts w:hint="eastAsia" w:ascii="宋体" w:hAnsi="宋体" w:cs="宋体"/>
          <w:sz w:val="32"/>
          <w:szCs w:val="32"/>
        </w:rPr>
        <w:t>七、一般公共预算财政拨款“三公”经费支出决算表</w:t>
      </w:r>
    </w:p>
    <w:p>
      <w:pPr>
        <w:ind w:firstLine="640" w:firstLineChars="200"/>
        <w:jc w:val="left"/>
        <w:rPr>
          <w:rFonts w:hint="eastAsia" w:ascii="宋体" w:hAnsi="宋体" w:cs="宋体"/>
          <w:sz w:val="32"/>
          <w:szCs w:val="32"/>
        </w:rPr>
      </w:pPr>
      <w:r>
        <w:rPr>
          <w:rFonts w:hint="eastAsia" w:ascii="宋体" w:hAnsi="宋体" w:cs="宋体"/>
          <w:sz w:val="32"/>
          <w:szCs w:val="32"/>
        </w:rPr>
        <w:t>八、政府性基金预算财政拨款收入支出决算表</w:t>
      </w:r>
    </w:p>
    <w:p>
      <w:pPr>
        <w:jc w:val="left"/>
        <w:rPr>
          <w:rFonts w:hint="eastAsia" w:ascii="黑体" w:hAnsi="黑体" w:eastAsia="黑体" w:cs="黑体"/>
          <w:sz w:val="32"/>
          <w:szCs w:val="32"/>
        </w:rPr>
      </w:pPr>
      <w:r>
        <w:rPr>
          <w:rFonts w:hint="eastAsia" w:ascii="黑体" w:hAnsi="黑体" w:eastAsia="黑体" w:cs="黑体"/>
          <w:sz w:val="32"/>
          <w:szCs w:val="32"/>
        </w:rPr>
        <w:t>第三部分　　2018年度部门决算情况说明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一、收入支出决算总体情况说明</w:t>
      </w:r>
    </w:p>
    <w:p>
      <w:pPr>
        <w:ind w:firstLine="640" w:firstLineChars="200"/>
        <w:jc w:val="left"/>
        <w:rPr>
          <w:rFonts w:hint="eastAsia" w:ascii="宋体" w:hAnsi="宋体" w:cs="宋体"/>
          <w:sz w:val="32"/>
          <w:szCs w:val="32"/>
        </w:rPr>
      </w:pPr>
      <w:r>
        <w:rPr>
          <w:rFonts w:hint="eastAsia" w:ascii="宋体" w:hAnsi="宋体" w:cs="宋体"/>
          <w:sz w:val="32"/>
          <w:szCs w:val="32"/>
        </w:rPr>
        <w:t>二、收入决算情况说明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三、支出决算情况说明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四、财政拨款收入支出决算总体情况说明</w:t>
      </w:r>
    </w:p>
    <w:p>
      <w:pPr>
        <w:ind w:firstLine="640" w:firstLineChars="200"/>
        <w:jc w:val="left"/>
        <w:rPr>
          <w:rFonts w:hint="eastAsia" w:ascii="宋体" w:hAnsi="宋体" w:cs="宋体"/>
          <w:sz w:val="32"/>
          <w:szCs w:val="32"/>
        </w:rPr>
      </w:pPr>
      <w:r>
        <w:rPr>
          <w:rFonts w:hint="eastAsia" w:ascii="宋体" w:hAnsi="宋体" w:cs="宋体"/>
          <w:sz w:val="32"/>
          <w:szCs w:val="32"/>
        </w:rPr>
        <w:t>五、一般公共预算财政拨款支出决算情况说明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六、一般公共预算财政拨款基本支出决算情况说明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七、一般公共预算财政拨款“三公”经费支出决算情况说明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八、预算绩效情况说明</w:t>
      </w:r>
    </w:p>
    <w:p>
      <w:pPr>
        <w:ind w:firstLine="640" w:firstLineChars="200"/>
        <w:jc w:val="left"/>
        <w:rPr>
          <w:rFonts w:hint="eastAsia" w:ascii="宋体" w:hAnsi="宋体" w:cs="宋体"/>
          <w:sz w:val="32"/>
          <w:szCs w:val="32"/>
        </w:rPr>
      </w:pPr>
      <w:r>
        <w:rPr>
          <w:rFonts w:hint="eastAsia" w:ascii="宋体" w:hAnsi="宋体" w:cs="宋体"/>
          <w:sz w:val="32"/>
          <w:szCs w:val="32"/>
        </w:rPr>
        <w:t>九、政府性基金预算财政拨款支出决算情况说明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十、机关运行经费支出情况说明</w:t>
      </w:r>
    </w:p>
    <w:p>
      <w:pPr>
        <w:ind w:firstLine="640" w:firstLineChars="200"/>
        <w:jc w:val="left"/>
        <w:rPr>
          <w:rFonts w:hint="eastAsia" w:ascii="宋体" w:hAnsi="宋体" w:cs="宋体"/>
          <w:sz w:val="32"/>
          <w:szCs w:val="32"/>
        </w:rPr>
      </w:pPr>
      <w:r>
        <w:rPr>
          <w:rFonts w:hint="eastAsia" w:ascii="宋体" w:hAnsi="宋体" w:cs="宋体"/>
          <w:sz w:val="32"/>
          <w:szCs w:val="32"/>
        </w:rPr>
        <w:t>十一、政府采购支出情况说明</w:t>
      </w:r>
    </w:p>
    <w:p>
      <w:pPr>
        <w:ind w:firstLine="640" w:firstLineChars="200"/>
        <w:jc w:val="left"/>
        <w:rPr>
          <w:rFonts w:hint="eastAsia" w:ascii="宋体" w:hAnsi="宋体" w:cs="宋体"/>
          <w:sz w:val="32"/>
          <w:szCs w:val="32"/>
        </w:rPr>
      </w:pPr>
      <w:r>
        <w:rPr>
          <w:rFonts w:hint="eastAsia" w:ascii="宋体" w:hAnsi="宋体" w:cs="宋体"/>
          <w:sz w:val="32"/>
          <w:szCs w:val="32"/>
        </w:rPr>
        <w:t>十二、国有资产占用情况说明</w:t>
      </w:r>
    </w:p>
    <w:p>
      <w:pPr>
        <w:jc w:val="left"/>
        <w:rPr>
          <w:rFonts w:hint="eastAsia" w:ascii="黑体" w:hAnsi="黑体" w:eastAsia="黑体" w:cs="黑体"/>
          <w:sz w:val="32"/>
          <w:szCs w:val="32"/>
        </w:rPr>
      </w:pPr>
      <w:r>
        <w:rPr>
          <w:rFonts w:hint="eastAsia" w:ascii="黑体" w:hAnsi="黑体" w:eastAsia="黑体" w:cs="黑体"/>
          <w:sz w:val="32"/>
          <w:szCs w:val="32"/>
        </w:rPr>
        <w:t>第四部分　　名词解释</w:t>
      </w: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center"/>
        <w:outlineLvl w:val="0"/>
        <w:rPr>
          <w:rFonts w:hint="eastAsia" w:ascii="黑体" w:hAnsi="黑体" w:eastAsia="黑体" w:cs="黑体"/>
          <w:sz w:val="48"/>
          <w:szCs w:val="48"/>
        </w:rPr>
        <w:sectPr>
          <w:footerReference r:id="rId3" w:type="default"/>
          <w:footerReference r:id="rId4" w:type="even"/>
          <w:pgSz w:w="11906" w:h="16838"/>
          <w:pgMar w:top="1440" w:right="1800" w:bottom="1440" w:left="1800" w:header="720" w:footer="720" w:gutter="0"/>
          <w:pgNumType w:fmt="numberInDash"/>
          <w:cols w:space="720" w:num="1"/>
          <w:docGrid w:type="lines" w:linePitch="312" w:charSpace="0"/>
        </w:sect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center"/>
        <w:outlineLvl w:val="0"/>
        <w:rPr>
          <w:rFonts w:hint="eastAsia" w:ascii="黑体" w:hAnsi="宋体" w:eastAsia="黑体" w:cs="宋体"/>
          <w:kern w:val="0"/>
          <w:sz w:val="28"/>
          <w:szCs w:val="28"/>
        </w:rPr>
      </w:pPr>
      <w:r>
        <w:rPr>
          <w:rFonts w:hint="eastAsia" w:ascii="黑体" w:hAnsi="黑体" w:eastAsia="黑体" w:cs="黑体"/>
          <w:sz w:val="48"/>
          <w:szCs w:val="48"/>
        </w:rPr>
        <w:t>第一部分  河南省许昌市人民检察院概况</w:t>
      </w: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sectPr>
          <w:pgSz w:w="11906" w:h="16838"/>
          <w:pgMar w:top="1440" w:right="1800" w:bottom="1440" w:left="1800" w:header="720" w:footer="720" w:gutter="0"/>
          <w:pgNumType w:fmt="numberInDash"/>
          <w:cols w:space="720" w:num="1"/>
          <w:docGrid w:type="lines" w:linePitch="312" w:charSpace="0"/>
        </w:sectPr>
      </w:pPr>
    </w:p>
    <w:p>
      <w:pPr>
        <w:widowControl/>
        <w:ind w:firstLine="640" w:firstLineChars="200"/>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一、部门</w:t>
      </w:r>
      <w:r>
        <w:rPr>
          <w:rFonts w:hint="eastAsia" w:ascii="黑体" w:hAnsi="黑体" w:eastAsia="黑体" w:cs="黑体"/>
          <w:bCs/>
          <w:sz w:val="32"/>
          <w:szCs w:val="32"/>
        </w:rPr>
        <w:t>职责</w:t>
      </w:r>
    </w:p>
    <w:p>
      <w:pPr>
        <w:adjustRightInd w:val="0"/>
        <w:snapToGrid w:val="0"/>
        <w:spacing w:line="620" w:lineRule="exact"/>
        <w:ind w:firstLine="480" w:firstLineChars="150"/>
        <w:rPr>
          <w:rFonts w:hint="eastAsia" w:eastAsia="仿宋_GB2312"/>
          <w:color w:val="000000"/>
          <w:sz w:val="32"/>
          <w:szCs w:val="32"/>
        </w:rPr>
      </w:pPr>
      <w:r>
        <w:rPr>
          <w:rFonts w:hint="eastAsia" w:eastAsia="仿宋_GB2312"/>
          <w:color w:val="000000"/>
          <w:sz w:val="32"/>
          <w:szCs w:val="32"/>
        </w:rPr>
        <w:t>（一）</w:t>
      </w:r>
      <w:r>
        <w:rPr>
          <w:rFonts w:eastAsia="仿宋_GB2312"/>
          <w:color w:val="000000"/>
          <w:sz w:val="32"/>
          <w:szCs w:val="32"/>
        </w:rPr>
        <w:t>依照法律规定对有关刑事案件行使侦查权；</w:t>
      </w:r>
    </w:p>
    <w:p>
      <w:pPr>
        <w:adjustRightInd w:val="0"/>
        <w:snapToGrid w:val="0"/>
        <w:spacing w:line="620" w:lineRule="exact"/>
        <w:rPr>
          <w:rFonts w:hint="eastAsia" w:eastAsia="仿宋_GB2312"/>
          <w:color w:val="000000"/>
          <w:sz w:val="32"/>
          <w:szCs w:val="32"/>
        </w:rPr>
      </w:pPr>
      <w:r>
        <w:rPr>
          <w:rFonts w:hint="eastAsia" w:eastAsia="仿宋_GB2312"/>
          <w:color w:val="000000"/>
          <w:sz w:val="32"/>
          <w:szCs w:val="32"/>
        </w:rPr>
        <w:t xml:space="preserve">   （二）</w:t>
      </w:r>
      <w:r>
        <w:rPr>
          <w:rFonts w:eastAsia="仿宋_GB2312"/>
          <w:color w:val="000000"/>
          <w:sz w:val="32"/>
          <w:szCs w:val="32"/>
        </w:rPr>
        <w:t>对刑事案件进行审查，批准或者决定是否逮捕犯罪嫌疑人；</w:t>
      </w:r>
    </w:p>
    <w:p>
      <w:pPr>
        <w:adjustRightInd w:val="0"/>
        <w:snapToGrid w:val="0"/>
        <w:spacing w:line="620" w:lineRule="exact"/>
        <w:ind w:firstLine="480" w:firstLineChars="150"/>
        <w:rPr>
          <w:rFonts w:hint="eastAsia" w:eastAsia="仿宋_GB2312"/>
          <w:color w:val="000000"/>
          <w:sz w:val="32"/>
          <w:szCs w:val="32"/>
        </w:rPr>
      </w:pPr>
      <w:r>
        <w:rPr>
          <w:rFonts w:hint="eastAsia" w:eastAsia="仿宋_GB2312"/>
          <w:color w:val="000000"/>
          <w:sz w:val="32"/>
          <w:szCs w:val="32"/>
        </w:rPr>
        <w:t>（三）</w:t>
      </w:r>
      <w:r>
        <w:rPr>
          <w:rFonts w:eastAsia="仿宋_GB2312"/>
          <w:color w:val="000000"/>
          <w:sz w:val="32"/>
          <w:szCs w:val="32"/>
        </w:rPr>
        <w:t>对刑事案件进行审查，决定是否提起公诉，对决定提起公诉的案件支持公诉；</w:t>
      </w:r>
    </w:p>
    <w:p>
      <w:pPr>
        <w:adjustRightInd w:val="0"/>
        <w:snapToGrid w:val="0"/>
        <w:spacing w:line="620" w:lineRule="exact"/>
        <w:ind w:firstLine="480" w:firstLineChars="150"/>
        <w:rPr>
          <w:rFonts w:hint="eastAsia" w:eastAsia="仿宋_GB2312"/>
          <w:color w:val="000000"/>
          <w:sz w:val="32"/>
          <w:szCs w:val="32"/>
        </w:rPr>
      </w:pPr>
      <w:r>
        <w:rPr>
          <w:rFonts w:hint="eastAsia" w:eastAsia="仿宋_GB2312"/>
          <w:color w:val="000000"/>
          <w:sz w:val="32"/>
          <w:szCs w:val="32"/>
        </w:rPr>
        <w:t>（四）</w:t>
      </w:r>
      <w:r>
        <w:rPr>
          <w:rFonts w:eastAsia="仿宋_GB2312"/>
          <w:color w:val="000000"/>
          <w:sz w:val="32"/>
          <w:szCs w:val="32"/>
        </w:rPr>
        <w:t>依照法律规定提起公益诉讼；</w:t>
      </w:r>
    </w:p>
    <w:p>
      <w:pPr>
        <w:adjustRightInd w:val="0"/>
        <w:snapToGrid w:val="0"/>
        <w:spacing w:line="620" w:lineRule="exact"/>
        <w:ind w:firstLine="480" w:firstLineChars="150"/>
        <w:rPr>
          <w:rFonts w:hint="eastAsia" w:eastAsia="仿宋_GB2312"/>
          <w:color w:val="000000"/>
          <w:sz w:val="32"/>
          <w:szCs w:val="32"/>
        </w:rPr>
      </w:pPr>
      <w:r>
        <w:rPr>
          <w:rFonts w:hint="eastAsia" w:eastAsia="仿宋_GB2312"/>
          <w:color w:val="000000"/>
          <w:sz w:val="32"/>
          <w:szCs w:val="32"/>
        </w:rPr>
        <w:t>（五）</w:t>
      </w:r>
      <w:r>
        <w:rPr>
          <w:rFonts w:eastAsia="仿宋_GB2312"/>
          <w:color w:val="000000"/>
          <w:sz w:val="32"/>
          <w:szCs w:val="32"/>
        </w:rPr>
        <w:t>对诉讼活动实行法律监督；</w:t>
      </w:r>
    </w:p>
    <w:p>
      <w:pPr>
        <w:adjustRightInd w:val="0"/>
        <w:snapToGrid w:val="0"/>
        <w:spacing w:line="620" w:lineRule="exact"/>
        <w:ind w:firstLine="480" w:firstLineChars="150"/>
        <w:rPr>
          <w:rFonts w:hint="eastAsia" w:eastAsia="仿宋_GB2312"/>
          <w:color w:val="000000"/>
          <w:sz w:val="32"/>
          <w:szCs w:val="32"/>
        </w:rPr>
      </w:pPr>
      <w:r>
        <w:rPr>
          <w:rFonts w:hint="eastAsia" w:eastAsia="仿宋_GB2312"/>
          <w:color w:val="000000"/>
          <w:sz w:val="32"/>
          <w:szCs w:val="32"/>
        </w:rPr>
        <w:t>（六）</w:t>
      </w:r>
      <w:r>
        <w:rPr>
          <w:rFonts w:eastAsia="仿宋_GB2312"/>
          <w:color w:val="000000"/>
          <w:sz w:val="32"/>
          <w:szCs w:val="32"/>
        </w:rPr>
        <w:t>对判决、裁定等生效法律文书的执行工作实行法律监督；</w:t>
      </w:r>
    </w:p>
    <w:p>
      <w:pPr>
        <w:adjustRightInd w:val="0"/>
        <w:snapToGrid w:val="0"/>
        <w:spacing w:line="620" w:lineRule="exact"/>
        <w:ind w:firstLine="480" w:firstLineChars="150"/>
        <w:rPr>
          <w:rFonts w:hint="eastAsia" w:eastAsia="仿宋_GB2312"/>
          <w:color w:val="000000"/>
          <w:sz w:val="32"/>
          <w:szCs w:val="32"/>
        </w:rPr>
      </w:pPr>
      <w:r>
        <w:rPr>
          <w:rFonts w:hint="eastAsia" w:eastAsia="仿宋_GB2312"/>
          <w:color w:val="000000"/>
          <w:sz w:val="32"/>
          <w:szCs w:val="32"/>
        </w:rPr>
        <w:t>（七）</w:t>
      </w:r>
      <w:r>
        <w:rPr>
          <w:rFonts w:eastAsia="仿宋_GB2312"/>
          <w:color w:val="000000"/>
          <w:sz w:val="32"/>
          <w:szCs w:val="32"/>
        </w:rPr>
        <w:t>对监狱、看守所的执法活动实行法律监督；</w:t>
      </w:r>
    </w:p>
    <w:p>
      <w:pPr>
        <w:adjustRightInd w:val="0"/>
        <w:snapToGrid w:val="0"/>
        <w:spacing w:line="620" w:lineRule="exact"/>
        <w:ind w:firstLine="480" w:firstLineChars="150"/>
        <w:rPr>
          <w:rFonts w:hint="eastAsia" w:eastAsia="仿宋_GB2312"/>
          <w:color w:val="000000"/>
          <w:sz w:val="32"/>
          <w:szCs w:val="32"/>
        </w:rPr>
      </w:pPr>
      <w:r>
        <w:rPr>
          <w:rFonts w:hint="eastAsia" w:eastAsia="仿宋_GB2312"/>
          <w:color w:val="000000"/>
          <w:sz w:val="32"/>
          <w:szCs w:val="32"/>
        </w:rPr>
        <w:t>（八）</w:t>
      </w:r>
      <w:r>
        <w:rPr>
          <w:rFonts w:eastAsia="仿宋_GB2312"/>
          <w:color w:val="000000"/>
          <w:sz w:val="32"/>
          <w:szCs w:val="32"/>
        </w:rPr>
        <w:t>法律规定的其他职权。</w:t>
      </w:r>
    </w:p>
    <w:p>
      <w:pPr>
        <w:widowControl/>
        <w:numPr>
          <w:ilvl w:val="0"/>
          <w:numId w:val="2"/>
        </w:numPr>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机构设置</w:t>
      </w:r>
    </w:p>
    <w:p>
      <w:pPr>
        <w:adjustRightInd w:val="0"/>
        <w:snapToGrid w:val="0"/>
        <w:spacing w:line="620" w:lineRule="exact"/>
        <w:ind w:left="160" w:leftChars="76" w:firstLine="480" w:firstLineChars="1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河南省许昌市人民检察院内设机构15个，包括：办公室、政治部、第一检察部、第二检察部、第三检察部、第四检察部、第五检察部、第六检察部、第七检察部、第八检察部、法律政策研究室、案件管理办公室、检务督察处、计划财务装备处、机关党委。</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本决算为汇总决算，</w:t>
      </w:r>
      <w:r>
        <w:rPr>
          <w:rFonts w:hint="eastAsia" w:ascii="仿宋_GB2312" w:hAnsi="仿宋_GB2312" w:eastAsia="仿宋_GB2312" w:cs="仿宋_GB2312"/>
          <w:kern w:val="0"/>
          <w:sz w:val="32"/>
          <w:szCs w:val="32"/>
        </w:rPr>
        <w:t>从决算单位构成看，许昌市人民检察院部门决算包括：本级决算、所属事业单位决算。</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本决算为汇总决算，</w:t>
      </w:r>
      <w:bookmarkStart w:id="0" w:name="_GoBack"/>
      <w:bookmarkEnd w:id="0"/>
      <w:r>
        <w:rPr>
          <w:rFonts w:hint="eastAsia" w:ascii="仿宋_GB2312" w:hAnsi="仿宋_GB2312" w:eastAsia="仿宋_GB2312" w:cs="仿宋_GB2312"/>
          <w:kern w:val="0"/>
          <w:sz w:val="32"/>
          <w:szCs w:val="32"/>
        </w:rPr>
        <w:t>纳入本部门2018年度部门决算编制范围的单位共3个，其中二级预算单位</w:t>
      </w:r>
      <w:r>
        <w:rPr>
          <w:rFonts w:hint="eastAsia" w:ascii="仿宋_GB2312" w:hAnsi="仿宋_GB2312" w:eastAsia="仿宋_GB2312" w:cs="仿宋_GB2312"/>
          <w:kern w:val="0"/>
          <w:sz w:val="32"/>
          <w:szCs w:val="32"/>
          <w:lang w:val="en-US" w:eastAsia="zh-CN"/>
        </w:rPr>
        <w:t>3个，具体是</w:t>
      </w:r>
      <w:r>
        <w:rPr>
          <w:rFonts w:hint="eastAsia" w:ascii="仿宋_GB2312" w:hAnsi="仿宋_GB2312" w:eastAsia="仿宋_GB2312" w:cs="仿宋_GB2312"/>
          <w:kern w:val="0"/>
          <w:sz w:val="32"/>
          <w:szCs w:val="32"/>
        </w:rPr>
        <w:t>：</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1.许昌市人民检察院</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本级</w:t>
      </w:r>
      <w:r>
        <w:rPr>
          <w:rFonts w:hint="eastAsia" w:ascii="仿宋_GB2312" w:hAnsi="仿宋_GB2312" w:eastAsia="仿宋_GB2312" w:cs="仿宋_GB2312"/>
          <w:kern w:val="0"/>
          <w:sz w:val="32"/>
          <w:szCs w:val="32"/>
          <w:lang w:eastAsia="zh-CN"/>
        </w:rPr>
        <w:t>）</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sz w:val="32"/>
          <w:szCs w:val="32"/>
        </w:rPr>
        <w:t xml:space="preserve"> 许昌市人民检察院机关后勤服务中心</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sz w:val="32"/>
          <w:szCs w:val="32"/>
        </w:rPr>
        <w:t xml:space="preserve"> 许昌市人民检察院检察官培训中心</w:t>
      </w:r>
    </w:p>
    <w:p>
      <w:pPr>
        <w:widowControl/>
        <w:jc w:val="left"/>
        <w:rPr>
          <w:rFonts w:hint="eastAsia" w:ascii="黑体" w:hAnsi="宋体" w:eastAsia="黑体" w:cs="宋体"/>
          <w:kern w:val="0"/>
          <w:sz w:val="28"/>
          <w:szCs w:val="28"/>
        </w:rPr>
        <w:sectPr>
          <w:pgSz w:w="11906" w:h="16838"/>
          <w:pgMar w:top="1440" w:right="1800" w:bottom="1440" w:left="1800" w:header="720" w:footer="720" w:gutter="0"/>
          <w:pgNumType w:fmt="numberInDash"/>
          <w:cols w:space="720" w:num="1"/>
          <w:docGrid w:type="lines" w:linePitch="312" w:charSpace="0"/>
        </w:sect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outlineLvl w:val="0"/>
        <w:rPr>
          <w:rFonts w:hint="eastAsia" w:ascii="黑体" w:hAnsi="黑体" w:eastAsia="黑体" w:cs="黑体"/>
          <w:sz w:val="48"/>
          <w:szCs w:val="48"/>
        </w:rPr>
        <w:sectPr>
          <w:pgSz w:w="11906" w:h="16838"/>
          <w:pgMar w:top="1440" w:right="1800" w:bottom="1440" w:left="1800" w:header="720" w:footer="720" w:gutter="0"/>
          <w:pgNumType w:fmt="numberInDash"/>
          <w:cols w:space="720" w:num="1"/>
          <w:docGrid w:type="lines" w:linePitch="312" w:charSpace="0"/>
        </w:sectPr>
      </w:pPr>
      <w:r>
        <w:rPr>
          <w:rFonts w:hint="eastAsia" w:ascii="黑体" w:hAnsi="黑体" w:eastAsia="黑体" w:cs="黑体"/>
          <w:sz w:val="48"/>
          <w:szCs w:val="48"/>
        </w:rPr>
        <w:t>第二部分  2018年度部门决算</w:t>
      </w:r>
    </w:p>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r>
        <w:rPr>
          <w:rFonts w:hint="eastAsia"/>
          <w:szCs w:val="32"/>
        </w:rPr>
        <w:drawing>
          <wp:inline distT="0" distB="0" distL="114300" distR="114300">
            <wp:extent cx="8837930" cy="5269865"/>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8837930" cy="5269865"/>
                    </a:xfrm>
                    <a:prstGeom prst="rect">
                      <a:avLst/>
                    </a:prstGeom>
                    <a:noFill/>
                    <a:ln>
                      <a:noFill/>
                    </a:ln>
                  </pic:spPr>
                </pic:pic>
              </a:graphicData>
            </a:graphic>
          </wp:inline>
        </w:drawing>
      </w:r>
    </w:p>
    <w:p>
      <w:pPr>
        <w:rPr>
          <w:rFonts w:hint="eastAsia" w:ascii="仿宋_GB2312" w:hAnsi="仿宋_GB2312" w:eastAsia="仿宋_GB2312" w:cs="仿宋_GB2312"/>
          <w:sz w:val="32"/>
          <w:szCs w:val="32"/>
        </w:rPr>
      </w:pPr>
      <w:r>
        <w:rPr>
          <w:rFonts w:hint="eastAsia"/>
          <w:szCs w:val="32"/>
        </w:rPr>
        <w:drawing>
          <wp:inline distT="0" distB="0" distL="114300" distR="114300">
            <wp:extent cx="8832850" cy="3716655"/>
            <wp:effectExtent l="0" t="0" r="6350"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8832850" cy="3716655"/>
                    </a:xfrm>
                    <a:prstGeom prst="rect">
                      <a:avLst/>
                    </a:prstGeom>
                    <a:noFill/>
                    <a:ln>
                      <a:noFill/>
                    </a:ln>
                  </pic:spPr>
                </pic:pic>
              </a:graphicData>
            </a:graphic>
          </wp:inline>
        </w:drawing>
      </w:r>
    </w:p>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r>
        <w:rPr>
          <w:rFonts w:hint="eastAsia"/>
          <w:szCs w:val="32"/>
        </w:rPr>
        <w:drawing>
          <wp:inline distT="0" distB="0" distL="114300" distR="114300">
            <wp:extent cx="8853170" cy="4239260"/>
            <wp:effectExtent l="0" t="0" r="508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8853170" cy="4239260"/>
                    </a:xfrm>
                    <a:prstGeom prst="rect">
                      <a:avLst/>
                    </a:prstGeom>
                    <a:noFill/>
                    <a:ln>
                      <a:noFill/>
                    </a:ln>
                  </pic:spPr>
                </pic:pic>
              </a:graphicData>
            </a:graphic>
          </wp:inline>
        </w:drawing>
      </w:r>
    </w:p>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r>
        <w:rPr>
          <w:rFonts w:hint="eastAsia"/>
          <w:szCs w:val="32"/>
        </w:rPr>
        <w:drawing>
          <wp:inline distT="0" distB="0" distL="114300" distR="114300">
            <wp:extent cx="8382635" cy="5267960"/>
            <wp:effectExtent l="0" t="0" r="1841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8382635" cy="5267960"/>
                    </a:xfrm>
                    <a:prstGeom prst="rect">
                      <a:avLst/>
                    </a:prstGeom>
                    <a:noFill/>
                    <a:ln>
                      <a:noFill/>
                    </a:ln>
                  </pic:spPr>
                </pic:pic>
              </a:graphicData>
            </a:graphic>
          </wp:inline>
        </w:drawing>
      </w:r>
    </w:p>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r>
        <w:rPr>
          <w:rFonts w:hint="eastAsia"/>
          <w:szCs w:val="32"/>
        </w:rPr>
        <w:drawing>
          <wp:inline distT="0" distB="0" distL="114300" distR="114300">
            <wp:extent cx="8538845" cy="5141595"/>
            <wp:effectExtent l="0" t="0" r="14605" b="1905"/>
            <wp:docPr id="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pic:cNvPicPr>
                      <a:picLocks noChangeAspect="1"/>
                    </pic:cNvPicPr>
                  </pic:nvPicPr>
                  <pic:blipFill>
                    <a:blip r:embed="rId10"/>
                    <a:stretch>
                      <a:fillRect/>
                    </a:stretch>
                  </pic:blipFill>
                  <pic:spPr>
                    <a:xfrm>
                      <a:off x="0" y="0"/>
                      <a:ext cx="8538845" cy="5141595"/>
                    </a:xfrm>
                    <a:prstGeom prst="rect">
                      <a:avLst/>
                    </a:prstGeom>
                    <a:noFill/>
                    <a:ln>
                      <a:noFill/>
                    </a:ln>
                  </pic:spPr>
                </pic:pic>
              </a:graphicData>
            </a:graphic>
          </wp:inline>
        </w:drawing>
      </w:r>
    </w:p>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r>
        <w:rPr>
          <w:rFonts w:hint="eastAsia"/>
          <w:szCs w:val="32"/>
        </w:rPr>
        <w:drawing>
          <wp:inline distT="0" distB="0" distL="114300" distR="114300">
            <wp:extent cx="8862060" cy="5219700"/>
            <wp:effectExtent l="0" t="0" r="152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8862060" cy="5219700"/>
                    </a:xfrm>
                    <a:prstGeom prst="rect">
                      <a:avLst/>
                    </a:prstGeom>
                    <a:noFill/>
                    <a:ln>
                      <a:noFill/>
                    </a:ln>
                  </pic:spPr>
                </pic:pic>
              </a:graphicData>
            </a:graphic>
          </wp:inline>
        </w:drawing>
      </w:r>
    </w:p>
    <w:p>
      <w:pPr>
        <w:rPr>
          <w:rFonts w:hint="eastAsia" w:ascii="仿宋_GB2312" w:hAnsi="仿宋_GB2312" w:eastAsia="仿宋_GB2312" w:cs="仿宋_GB2312"/>
          <w:sz w:val="32"/>
          <w:szCs w:val="32"/>
        </w:rPr>
        <w:sectPr>
          <w:pgSz w:w="16838" w:h="11906" w:orient="landscape"/>
          <w:pgMar w:top="2098" w:right="1474" w:bottom="1984" w:left="1587" w:header="720" w:footer="720" w:gutter="0"/>
          <w:pgNumType w:fmt="numberInDash"/>
          <w:cols w:space="720" w:num="1"/>
          <w:docGrid w:type="lines" w:linePitch="312" w:charSpace="0"/>
        </w:sectPr>
      </w:pPr>
      <w:r>
        <w:rPr>
          <w:rFonts w:hint="eastAsia"/>
          <w:szCs w:val="32"/>
        </w:rPr>
        <w:drawing>
          <wp:inline distT="0" distB="0" distL="114300" distR="114300">
            <wp:extent cx="8744585" cy="2276475"/>
            <wp:effectExtent l="0" t="0" r="1841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8744585" cy="2276475"/>
                    </a:xfrm>
                    <a:prstGeom prst="rect">
                      <a:avLst/>
                    </a:prstGeom>
                    <a:noFill/>
                    <a:ln>
                      <a:noFill/>
                    </a:ln>
                  </pic:spPr>
                </pic:pic>
              </a:graphicData>
            </a:graphic>
          </wp:inline>
        </w:drawing>
      </w:r>
    </w:p>
    <w:tbl>
      <w:tblPr>
        <w:tblStyle w:val="5"/>
        <w:tblW w:w="13988" w:type="dxa"/>
        <w:tblInd w:w="0" w:type="dxa"/>
        <w:tblLayout w:type="fixed"/>
        <w:tblCellMar>
          <w:top w:w="0" w:type="dxa"/>
          <w:left w:w="0" w:type="dxa"/>
          <w:bottom w:w="0" w:type="dxa"/>
          <w:right w:w="0" w:type="dxa"/>
        </w:tblCellMar>
      </w:tblPr>
      <w:tblGrid>
        <w:gridCol w:w="612"/>
        <w:gridCol w:w="536"/>
        <w:gridCol w:w="1276"/>
        <w:gridCol w:w="1926"/>
        <w:gridCol w:w="1926"/>
        <w:gridCol w:w="1926"/>
        <w:gridCol w:w="1927"/>
        <w:gridCol w:w="1926"/>
        <w:gridCol w:w="1933"/>
      </w:tblGrid>
      <w:tr>
        <w:tblPrEx>
          <w:tblCellMar>
            <w:top w:w="0" w:type="dxa"/>
            <w:left w:w="0" w:type="dxa"/>
            <w:bottom w:w="0" w:type="dxa"/>
            <w:right w:w="0" w:type="dxa"/>
          </w:tblCellMar>
        </w:tblPrEx>
        <w:trPr>
          <w:trHeight w:val="600" w:hRule="atLeast"/>
        </w:trPr>
        <w:tc>
          <w:tcPr>
            <w:tcW w:w="13988" w:type="dxa"/>
            <w:gridSpan w:val="9"/>
            <w:tcBorders>
              <w:top w:val="nil"/>
              <w:left w:val="nil"/>
              <w:bottom w:val="nil"/>
              <w:right w:val="nil"/>
            </w:tcBorders>
            <w:shd w:val="clear" w:color="auto" w:fill="FFFFFF"/>
            <w:noWrap w:val="0"/>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政府性基金预算财政拨款收入支出决算表</w:t>
            </w:r>
          </w:p>
        </w:tc>
      </w:tr>
      <w:tr>
        <w:tblPrEx>
          <w:tblCellMar>
            <w:top w:w="0" w:type="dxa"/>
            <w:left w:w="0" w:type="dxa"/>
            <w:bottom w:w="0" w:type="dxa"/>
            <w:right w:w="0" w:type="dxa"/>
          </w:tblCellMar>
        </w:tblPrEx>
        <w:trPr>
          <w:trHeight w:val="222" w:hRule="atLeast"/>
        </w:trPr>
        <w:tc>
          <w:tcPr>
            <w:tcW w:w="612"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536"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7"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33"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公开08表</w:t>
            </w:r>
          </w:p>
        </w:tc>
      </w:tr>
      <w:tr>
        <w:tblPrEx>
          <w:tblCellMar>
            <w:top w:w="0" w:type="dxa"/>
            <w:left w:w="0" w:type="dxa"/>
            <w:bottom w:w="0" w:type="dxa"/>
            <w:right w:w="0" w:type="dxa"/>
          </w:tblCellMar>
        </w:tblPrEx>
        <w:trPr>
          <w:trHeight w:val="300" w:hRule="atLeast"/>
        </w:trPr>
        <w:tc>
          <w:tcPr>
            <w:tcW w:w="612" w:type="dxa"/>
            <w:tcBorders>
              <w:top w:val="nil"/>
              <w:left w:val="nil"/>
              <w:bottom w:val="nil"/>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w:t>
            </w:r>
          </w:p>
        </w:tc>
        <w:tc>
          <w:tcPr>
            <w:tcW w:w="536"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7"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33"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05" w:hRule="atLeast"/>
        </w:trPr>
        <w:tc>
          <w:tcPr>
            <w:tcW w:w="2424" w:type="dxa"/>
            <w:gridSpan w:val="3"/>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    目</w:t>
            </w:r>
          </w:p>
        </w:tc>
        <w:tc>
          <w:tcPr>
            <w:tcW w:w="1926" w:type="dxa"/>
            <w:vMerge w:val="restart"/>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年初结转和结余</w:t>
            </w:r>
          </w:p>
        </w:tc>
        <w:tc>
          <w:tcPr>
            <w:tcW w:w="1926" w:type="dxa"/>
            <w:vMerge w:val="restart"/>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本年收入</w:t>
            </w:r>
          </w:p>
        </w:tc>
        <w:tc>
          <w:tcPr>
            <w:tcW w:w="5779" w:type="dxa"/>
            <w:gridSpan w:val="3"/>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本年支出</w:t>
            </w:r>
          </w:p>
        </w:tc>
        <w:tc>
          <w:tcPr>
            <w:tcW w:w="1933" w:type="dxa"/>
            <w:vMerge w:val="restart"/>
            <w:tcBorders>
              <w:top w:val="single" w:color="000000" w:sz="8"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年末结转和结余</w:t>
            </w:r>
          </w:p>
        </w:tc>
      </w:tr>
      <w:tr>
        <w:tblPrEx>
          <w:tblCellMar>
            <w:top w:w="0" w:type="dxa"/>
            <w:left w:w="0" w:type="dxa"/>
            <w:bottom w:w="0" w:type="dxa"/>
            <w:right w:w="0" w:type="dxa"/>
          </w:tblCellMar>
        </w:tblPrEx>
        <w:trPr>
          <w:trHeight w:val="540" w:hRule="atLeast"/>
        </w:trPr>
        <w:tc>
          <w:tcPr>
            <w:tcW w:w="1148" w:type="dxa"/>
            <w:gridSpan w:val="2"/>
            <w:vMerge w:val="restart"/>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功能分类</w:t>
            </w:r>
          </w:p>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科目编码</w:t>
            </w:r>
          </w:p>
        </w:tc>
        <w:tc>
          <w:tcPr>
            <w:tcW w:w="12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科目名称</w:t>
            </w:r>
          </w:p>
        </w:tc>
        <w:tc>
          <w:tcPr>
            <w:tcW w:w="1926" w:type="dxa"/>
            <w:vMerge w:val="continue"/>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restar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小计</w:t>
            </w:r>
          </w:p>
        </w:tc>
        <w:tc>
          <w:tcPr>
            <w:tcW w:w="1927" w:type="dxa"/>
            <w:vMerge w:val="restar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基本支出</w:t>
            </w:r>
          </w:p>
        </w:tc>
        <w:tc>
          <w:tcPr>
            <w:tcW w:w="1926" w:type="dxa"/>
            <w:vMerge w:val="restart"/>
            <w:tcBorders>
              <w:top w:val="nil"/>
              <w:left w:val="single" w:color="000000" w:sz="4" w:space="0"/>
              <w:bottom w:val="single" w:color="000000" w:sz="4" w:space="0"/>
              <w:right w:val="nil"/>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项目支出</w:t>
            </w:r>
          </w:p>
        </w:tc>
        <w:tc>
          <w:tcPr>
            <w:tcW w:w="1933" w:type="dxa"/>
            <w:vMerge w:val="continue"/>
            <w:tcBorders>
              <w:top w:val="single" w:color="000000" w:sz="8"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360" w:hRule="atLeast"/>
        </w:trPr>
        <w:tc>
          <w:tcPr>
            <w:tcW w:w="1148" w:type="dxa"/>
            <w:gridSpan w:val="2"/>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7"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nil"/>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33" w:type="dxa"/>
            <w:vMerge w:val="continue"/>
            <w:tcBorders>
              <w:top w:val="single" w:color="000000" w:sz="8"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7" w:type="dxa"/>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nil"/>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33" w:type="dxa"/>
            <w:vMerge w:val="continue"/>
            <w:tcBorders>
              <w:top w:val="single" w:color="000000" w:sz="8"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2424" w:type="dxa"/>
            <w:gridSpan w:val="3"/>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栏次</w:t>
            </w: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19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926"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933"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tblPrEx>
          <w:tblCellMar>
            <w:top w:w="0" w:type="dxa"/>
            <w:left w:w="0" w:type="dxa"/>
            <w:bottom w:w="0" w:type="dxa"/>
            <w:right w:w="0" w:type="dxa"/>
          </w:tblCellMar>
        </w:tblPrEx>
        <w:trPr>
          <w:trHeight w:val="450" w:hRule="atLeast"/>
        </w:trPr>
        <w:tc>
          <w:tcPr>
            <w:tcW w:w="2424" w:type="dxa"/>
            <w:gridSpan w:val="3"/>
            <w:tcBorders>
              <w:top w:val="nil"/>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33"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rPr>
                <w:rFonts w:hint="eastAsia" w:ascii="宋体" w:hAnsi="宋体" w:cs="宋体"/>
                <w:color w:val="000000"/>
                <w:sz w:val="20"/>
                <w:szCs w:val="20"/>
              </w:rPr>
            </w:pPr>
          </w:p>
        </w:tc>
        <w:tc>
          <w:tcPr>
            <w:tcW w:w="1933"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rPr>
                <w:rFonts w:hint="eastAsia" w:ascii="宋体" w:hAnsi="宋体" w:cs="宋体"/>
                <w:color w:val="000000"/>
                <w:sz w:val="20"/>
                <w:szCs w:val="20"/>
              </w:rPr>
            </w:pPr>
          </w:p>
        </w:tc>
        <w:tc>
          <w:tcPr>
            <w:tcW w:w="1933"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rPr>
                <w:rFonts w:hint="eastAsia" w:ascii="宋体" w:hAnsi="宋体" w:cs="宋体"/>
                <w:color w:val="000000"/>
                <w:sz w:val="20"/>
                <w:szCs w:val="20"/>
              </w:rPr>
            </w:pPr>
          </w:p>
        </w:tc>
        <w:tc>
          <w:tcPr>
            <w:tcW w:w="1933"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rPr>
                <w:rFonts w:hint="eastAsia" w:ascii="宋体" w:hAnsi="宋体" w:cs="宋体"/>
                <w:color w:val="000000"/>
                <w:sz w:val="20"/>
                <w:szCs w:val="20"/>
              </w:rPr>
            </w:pPr>
          </w:p>
        </w:tc>
        <w:tc>
          <w:tcPr>
            <w:tcW w:w="1933"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nil"/>
            </w:tcBorders>
            <w:noWrap w:val="0"/>
            <w:tcMar>
              <w:top w:w="15" w:type="dxa"/>
              <w:left w:w="15" w:type="dxa"/>
              <w:right w:w="15" w:type="dxa"/>
            </w:tcMar>
            <w:vAlign w:val="center"/>
          </w:tcPr>
          <w:p>
            <w:pPr>
              <w:rPr>
                <w:rFonts w:hint="eastAsia" w:ascii="宋体" w:hAnsi="宋体" w:cs="宋体"/>
                <w:color w:val="000000"/>
                <w:sz w:val="20"/>
                <w:szCs w:val="20"/>
              </w:rPr>
            </w:pPr>
          </w:p>
        </w:tc>
        <w:tc>
          <w:tcPr>
            <w:tcW w:w="1933"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8" w:space="0"/>
              <w:right w:val="nil"/>
            </w:tcBorders>
            <w:noWrap w:val="0"/>
            <w:tcMar>
              <w:top w:w="15" w:type="dxa"/>
              <w:left w:w="15" w:type="dxa"/>
              <w:right w:w="15" w:type="dxa"/>
            </w:tcMar>
            <w:vAlign w:val="center"/>
          </w:tcPr>
          <w:p>
            <w:pPr>
              <w:rPr>
                <w:rFonts w:hint="eastAsia" w:ascii="宋体" w:hAnsi="宋体" w:cs="宋体"/>
                <w:color w:val="000000"/>
                <w:sz w:val="20"/>
                <w:szCs w:val="20"/>
              </w:rPr>
            </w:pPr>
          </w:p>
        </w:tc>
        <w:tc>
          <w:tcPr>
            <w:tcW w:w="1933" w:type="dxa"/>
            <w:tcBorders>
              <w:top w:val="single" w:color="000000" w:sz="4" w:space="0"/>
              <w:left w:val="single" w:color="000000" w:sz="4"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645" w:hRule="atLeast"/>
        </w:trPr>
        <w:tc>
          <w:tcPr>
            <w:tcW w:w="13988" w:type="dxa"/>
            <w:gridSpan w:val="9"/>
            <w:tcBorders>
              <w:top w:val="single" w:color="000000" w:sz="8" w:space="0"/>
              <w:left w:val="nil"/>
              <w:bottom w:val="nil"/>
              <w:right w:val="nil"/>
            </w:tcBorders>
            <w:noWrap w:val="0"/>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注：本表反映部门本年度政府性基金预算财政拨款收入、支出及结转和结余情况。</w:t>
            </w:r>
          </w:p>
        </w:tc>
      </w:tr>
    </w:tbl>
    <w:p>
      <w:pPr>
        <w:widowControl/>
        <w:spacing w:line="590" w:lineRule="exact"/>
        <w:jc w:val="left"/>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r>
        <w:rPr>
          <w:rFonts w:hint="eastAsia" w:ascii="仿宋_GB2312" w:hAnsi="仿宋_GB2312" w:eastAsia="仿宋_GB2312" w:cs="仿宋_GB2312"/>
          <w:sz w:val="32"/>
          <w:szCs w:val="32"/>
        </w:rPr>
        <w:t>说明：我部门没有政府性基金收入，也没有使用政府性基金安排的支出，故本表无数据。</w:t>
      </w:r>
    </w:p>
    <w:p>
      <w:pPr>
        <w:widowControl/>
        <w:spacing w:line="590" w:lineRule="exact"/>
        <w:jc w:val="left"/>
        <w:rPr>
          <w:rFonts w:hint="eastAsia" w:ascii="仿宋_GB2312" w:hAnsi="仿宋_GB2312" w:eastAsia="仿宋_GB2312" w:cs="仿宋_GB2312"/>
          <w:sz w:val="32"/>
          <w:szCs w:val="32"/>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第三部分  2018年度部门决算情况说明</w:t>
      </w:r>
    </w:p>
    <w:p>
      <w:pPr>
        <w:widowControl/>
        <w:jc w:val="left"/>
        <w:rPr>
          <w:rFonts w:hint="eastAsia" w:ascii="黑体" w:hAnsi="黑体" w:eastAsia="黑体" w:cs="黑体"/>
          <w:sz w:val="48"/>
          <w:szCs w:val="48"/>
        </w:rPr>
        <w:sectPr>
          <w:pgSz w:w="11906" w:h="16838"/>
          <w:pgMar w:top="1440" w:right="1800" w:bottom="1440" w:left="1800" w:header="720" w:footer="720" w:gutter="0"/>
          <w:pgNumType w:fmt="numberInDash"/>
          <w:cols w:space="720" w:num="1"/>
          <w:docGrid w:type="lines" w:linePitch="312" w:charSpace="0"/>
        </w:sectPr>
      </w:pP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一、收入支出决算总体情况说明</w:t>
      </w:r>
    </w:p>
    <w:p>
      <w:pPr>
        <w:widowControl/>
        <w:spacing w:line="59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rPr>
        <w:t>2018年度收、支总计均为12163.19万元。与上年度相比，收、支总计各增加1116.43万元，增长10.11%。主要原因：一是正常增人增资、晋级晋档、工资调标调整、司法改革检察人员绩效工资等，基本支出增加；二是我院2017年预算投入建设的三远一网等多项信息化项目按照省院统一安排今年完成项目建设，中央空调升级改造、豫南办案基地建设及未成年人法制教育基地等达到验收支付标准，以上经费均于2018年支付；三是2018年按照省院统一部署，投入建设电子检务工程资金七百余万，按照合同进度支付到位。</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二、收入决算情况说明</w:t>
      </w:r>
    </w:p>
    <w:p>
      <w:pPr>
        <w:widowControl/>
        <w:spacing w:line="59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rPr>
        <w:t>2018年度收入合计6267.15万元，其中：财政拨款收入6267.15万元，占100%。</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2018年度支出合计7199.78万元，其中：基本支出4839.9万元，占67.22%；项目支出2359.88万元，占32.78%。</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四、财政拨款收入支出决算总体情况说明</w:t>
      </w:r>
    </w:p>
    <w:p>
      <w:pPr>
        <w:widowControl/>
        <w:spacing w:line="59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rPr>
        <w:t>2018年度财政拨款收、支总计均为12163.19万元。与上年度相比，财政拨款收、支总计各增加1116.43万元，增长10.11%。主要原因是一是正常增人增资、晋级晋档、工资调标调整、司法改革检察人员绩效工资等，基本支出增加；二是我院2017年预算投入建设的三远一网等多项信息化项目按照省院统一安排今年完成项目建设，中央空调升级改造、豫南办案基地建设及未成年人法制教育基地等达到验收支付标准，以上经费均于2018年支付；三是2018年按照省院统一部署，投入建设电子检务工程资金七百余万，按照合同进度支付到位。</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五、一般公共预算财政拨款支出决算情况说明</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（一）总体情况。</w:t>
      </w:r>
    </w:p>
    <w:p>
      <w:pPr>
        <w:widowControl/>
        <w:spacing w:line="590" w:lineRule="exact"/>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rPr>
        <w:t>2018年度一般公共预算财政拨款支出7199.78万元，占本年支出合计的100%。与上年度相比，一般公共预算财政拨款支出增加2611.41万元，增长56.91%。主要原因：一是正常增人增资、晋级晋档、工资调标调整、司法改革检察人员绩效工资等，基本支出增加；二是我院2017年预算投入建设的三远一网等多项信息化项目按照省院统一安排今年完成项目建设，中央空调升级改造、豫南办案基地建设及未成年人法制教育基地等达到验收支付标准，以上经费均于2018年支付；三是2018年按照省院统一部署，投入建设电子检务工程资金七百余万，按照合同进度支付到位。</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（二）结构情况。</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度一般公共预算财政拨款支出7199.78万元，主要用于以下方面：一般公共服务（类）支出9.9万元，占0.14%；公共安全（类）支出6831.45万元，占94.88%；社会保障和就业（类）支出357.12万元，占4.96%；医疗卫生与计划生育（类）支出1.31万元，占0.02%</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（三）具体情况。</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2018年度一般公共预算财政拨款支出年初预算为5276万元，支出决算为7199.78万元，完成年初预算的136.46%。其中：</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1．一般公共服务（类）其他一般公共服务（款）其他一般公共服务（项）。</w:t>
      </w:r>
      <w:r>
        <w:rPr>
          <w:rFonts w:hint="eastAsia" w:ascii="仿宋_GB2312" w:hAnsi="仿宋_GB2312" w:eastAsia="仿宋_GB2312" w:cs="仿宋_GB2312"/>
          <w:sz w:val="32"/>
          <w:szCs w:val="32"/>
        </w:rPr>
        <w:t>年初预算为0万元，支出决算为9.9万元。决算数与年初预算数存在差异的主要原因是财政拨款项目不一致导致。</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2．公共安全支出（类）检察（款）行政运行（项）。</w:t>
      </w:r>
      <w:r>
        <w:rPr>
          <w:rFonts w:hint="eastAsia" w:ascii="仿宋_GB2312" w:hAnsi="仿宋_GB2312" w:eastAsia="仿宋_GB2312" w:cs="仿宋_GB2312"/>
          <w:sz w:val="32"/>
          <w:szCs w:val="32"/>
        </w:rPr>
        <w:t>年初预算为2789.91万元，支出决算为4284万元，完成年初预算的153.55%。决算数与年初预算数存在差异的主要原因是正常增人增资、晋级晋档、工资调标调整、司法改革检察人员绩效工资等。</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3．公共安全支出（类）检察（款）一般行政管理事务（项）。</w:t>
      </w:r>
      <w:r>
        <w:rPr>
          <w:rFonts w:hint="eastAsia" w:ascii="仿宋_GB2312" w:hAnsi="仿宋_GB2312" w:eastAsia="仿宋_GB2312" w:cs="仿宋_GB2312"/>
          <w:sz w:val="32"/>
          <w:szCs w:val="32"/>
        </w:rPr>
        <w:t>年初预算为1402万元，支出决算为1871.18万元，完成年初预算的133.46%。决算数与年初预算数存在差异的主要原因：根据实际工作需要，统筹使用上年结转资金。</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4．公共安全支出（类）检察（款）事业运行（项）。</w:t>
      </w:r>
      <w:r>
        <w:rPr>
          <w:rFonts w:hint="eastAsia" w:ascii="仿宋_GB2312" w:hAnsi="仿宋_GB2312" w:eastAsia="仿宋_GB2312" w:cs="仿宋_GB2312"/>
          <w:sz w:val="32"/>
          <w:szCs w:val="32"/>
        </w:rPr>
        <w:t>年初预算为322.29万元，支出决算为197.47万元，完成年初预算的61.27%。决算数与年初预算数存在差异的主要原因是下属事业单位工资与行政人员合并核算。</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5．公共安全支出（类）检察（款）其他检察支出（项）。</w:t>
      </w:r>
      <w:r>
        <w:rPr>
          <w:rFonts w:hint="eastAsia" w:ascii="仿宋_GB2312" w:hAnsi="仿宋_GB2312" w:eastAsia="仿宋_GB2312" w:cs="仿宋_GB2312"/>
          <w:sz w:val="32"/>
          <w:szCs w:val="32"/>
        </w:rPr>
        <w:t>年初预算为446万元，支出决算为478.81万元，完成年初预算的107.36%。决算数与年初预算数存在差异的主要原因是根据实际工作需要，统筹使用上年结转资金。</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6．社会保障和就业支出（类）行政事业单位离退休（款）归口管理的行政单位离退休（项）。</w:t>
      </w:r>
      <w:r>
        <w:rPr>
          <w:rFonts w:hint="eastAsia" w:ascii="仿宋_GB2312" w:hAnsi="仿宋_GB2312" w:eastAsia="仿宋_GB2312" w:cs="仿宋_GB2312"/>
          <w:sz w:val="32"/>
          <w:szCs w:val="32"/>
        </w:rPr>
        <w:t>年初预算为315.8万元，支出决算为357.12万元，完成年初预算的113.08%。决算数与年初预算数存在差异的主要原因是当年度离退休人员死亡追加的丧葬抚恤金支出。</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7．医疗卫生与计划生育支出（类）行政事业单位医疗（款）行政单位医疗（项）。</w:t>
      </w:r>
      <w:r>
        <w:rPr>
          <w:rFonts w:hint="eastAsia" w:ascii="仿宋_GB2312" w:hAnsi="仿宋_GB2312" w:eastAsia="仿宋_GB2312" w:cs="仿宋_GB2312"/>
          <w:sz w:val="32"/>
          <w:szCs w:val="32"/>
        </w:rPr>
        <w:t>年初预算为0万元，支出决算为1.31万元。决算数与年初预算数存在差异的主要原因是当年追加的离休人员医药费。</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六、一般公共预算财政拨款基本支出决算情况说明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度一般公共预算财政拨款基本支出4839.9万元。其中：人员经费3613.34万元，主要包括：基本工资、津贴补贴、奖金、机关事业单位基本养老保险缴费、职工基本医疗保险缴费、公务员医疗补助缴费、其他社会保障缴费、住房公积金、离休费、退休费、抚恤金、生活补助、医疗费补助、其他对个人和家庭的补助支出；公用经费1226.56万元，主要包括：办公费、印刷费、水费、电费、邮电费、物业管理费、差旅费、维修（护）费、租赁费、会议费、培训费、公务接待费、劳务费、工会经费、福利费、公务用车运行维护费、其他交通费用、其他商品和服务支出、办公设备购置、专用设备购置、信息网络及软件购置更新、公务用车购置、其他资本性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七、一般公共预算财政拨款“三公”经费支出决算情况说明</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（一）“三公”经费财政拨款支出决算总体情况说明。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2018年度“三公”经费财政拨款支出预算为204.64万元，支出决算为84.39万元，完成预算的41.24%。2018年度“三公”经费支出决算数与预算数存在差异的主要原因是</w:t>
      </w:r>
      <w:r>
        <w:rPr>
          <w:rFonts w:ascii="仿宋_GB2312" w:hAnsi="仿宋_GB2312" w:eastAsia="仿宋_GB2312" w:cs="仿宋_GB2312"/>
          <w:sz w:val="32"/>
          <w:szCs w:val="32"/>
        </w:rPr>
        <w:t>本着厉行节约、反对铺张浪费精神，</w:t>
      </w:r>
      <w:r>
        <w:rPr>
          <w:rFonts w:hint="eastAsia" w:ascii="仿宋_GB2312" w:hAnsi="仿宋_GB2312" w:eastAsia="仿宋_GB2312" w:cs="仿宋_GB2312"/>
          <w:sz w:val="32"/>
          <w:szCs w:val="32"/>
        </w:rPr>
        <w:t>认真贯彻落实中央“八项规定”精神和厉行节约要求，</w:t>
      </w:r>
      <w:r>
        <w:rPr>
          <w:rFonts w:ascii="仿宋_GB2312" w:hAnsi="仿宋_GB2312" w:eastAsia="仿宋_GB2312" w:cs="仿宋_GB2312"/>
          <w:sz w:val="32"/>
          <w:szCs w:val="32"/>
        </w:rPr>
        <w:t>规范费用管理，严格控制该费用支出</w:t>
      </w:r>
      <w:r>
        <w:rPr>
          <w:rFonts w:hint="eastAsia" w:ascii="仿宋_GB2312" w:hAnsi="仿宋_GB2312" w:eastAsia="仿宋_GB2312" w:cs="仿宋_GB2312"/>
          <w:sz w:val="32"/>
          <w:szCs w:val="32"/>
        </w:rPr>
        <w:t>。</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（二）“三公”经费财政拨款支出决算具体情况说明。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度“三公”经费财政拨款支出决算中，因公出国（境）费支出决算0万元；公务用车购置及运行费支出决算83.73万元，完成预算的43.67%，占99.22%；公务接待费支出决算0.65万元，完成预算的5.04%，占0.78%。具体情况如下：</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1．因公出国（境）费</w:t>
      </w:r>
      <w:r>
        <w:rPr>
          <w:rFonts w:hint="eastAsia" w:ascii="仿宋_GB2312" w:hAnsi="仿宋_GB2312" w:eastAsia="仿宋_GB2312" w:cs="仿宋_GB2312"/>
          <w:sz w:val="32"/>
          <w:szCs w:val="32"/>
        </w:rPr>
        <w:t>年初预算为0万元，支出决算为0万元。全年因公出国（境）团组0个，累计0人次。无开支内容。</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2．公务用车购置及运行费</w:t>
      </w:r>
      <w:r>
        <w:rPr>
          <w:rFonts w:hint="eastAsia" w:ascii="仿宋_GB2312" w:hAnsi="仿宋_GB2312" w:eastAsia="仿宋_GB2312" w:cs="仿宋_GB2312"/>
          <w:sz w:val="32"/>
          <w:szCs w:val="32"/>
        </w:rPr>
        <w:t>年初预算为191.74万元，支出决算为83.73万元，完成年初预算的43.67%。决算数与年初预算数存在差异的主要原因是厉行勤俭节约，加强公车管理，节约运行成本。其中：</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公务用车购置支出</w:t>
      </w:r>
      <w:r>
        <w:rPr>
          <w:rFonts w:hint="eastAsia" w:ascii="仿宋_GB2312" w:hAnsi="仿宋_GB2312" w:eastAsia="仿宋_GB2312" w:cs="仿宋_GB2312"/>
          <w:sz w:val="32"/>
          <w:szCs w:val="32"/>
        </w:rPr>
        <w:t>为59.74万元，购置车辆1辆，其中特种技术用车1辆。</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公务用车运行支出</w:t>
      </w:r>
      <w:r>
        <w:rPr>
          <w:rFonts w:hint="eastAsia" w:ascii="仿宋_GB2312" w:hAnsi="仿宋_GB2312" w:eastAsia="仿宋_GB2312" w:cs="仿宋_GB2312"/>
          <w:sz w:val="32"/>
          <w:szCs w:val="32"/>
        </w:rPr>
        <w:t>23.99万元。主要用于机要文件交换、外出办案、检查所需车辆燃料费、维修费、过桥过路费、保险费等支出。2018年期末，部门开支财政拨款的公务用车保有量为24辆。</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3.公务接待费</w:t>
      </w:r>
      <w:r>
        <w:rPr>
          <w:rFonts w:hint="eastAsia" w:ascii="仿宋_GB2312" w:hAnsi="仿宋_GB2312" w:eastAsia="仿宋_GB2312" w:cs="仿宋_GB2312"/>
          <w:sz w:val="32"/>
          <w:szCs w:val="32"/>
        </w:rPr>
        <w:t>年初预算为12.9万元，支出决算为0.65万元，完成年初预算的5.04%。决算数与年初预算数存在差异的主要原因是</w:t>
      </w:r>
      <w:r>
        <w:rPr>
          <w:rFonts w:ascii="仿宋_GB2312" w:hAnsi="仿宋_GB2312" w:eastAsia="仿宋_GB2312" w:cs="仿宋_GB2312"/>
          <w:sz w:val="32"/>
          <w:szCs w:val="32"/>
        </w:rPr>
        <w:t>本着厉行节约、反对铺张浪费精神，</w:t>
      </w:r>
      <w:r>
        <w:rPr>
          <w:rFonts w:hint="eastAsia" w:ascii="仿宋_GB2312" w:hAnsi="仿宋_GB2312" w:eastAsia="仿宋_GB2312" w:cs="仿宋_GB2312"/>
          <w:sz w:val="32"/>
          <w:szCs w:val="32"/>
        </w:rPr>
        <w:t>认真贯彻落实中央“八项规定”精神和厉行节约要求，</w:t>
      </w:r>
      <w:r>
        <w:rPr>
          <w:rFonts w:ascii="仿宋_GB2312" w:hAnsi="仿宋_GB2312" w:eastAsia="仿宋_GB2312" w:cs="仿宋_GB2312"/>
          <w:sz w:val="32"/>
          <w:szCs w:val="32"/>
        </w:rPr>
        <w:t>规范费用管理</w:t>
      </w:r>
      <w:r>
        <w:rPr>
          <w:rFonts w:hint="eastAsia" w:ascii="仿宋_GB2312" w:hAnsi="仿宋_GB2312" w:eastAsia="仿宋_GB2312" w:cs="仿宋_GB2312"/>
          <w:sz w:val="32"/>
          <w:szCs w:val="32"/>
        </w:rPr>
        <w:t>，从严控制公务接待费用支出。其中：</w:t>
      </w:r>
    </w:p>
    <w:p>
      <w:pPr>
        <w:widowControl/>
        <w:spacing w:line="59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外宾接待支出</w:t>
      </w:r>
      <w:r>
        <w:rPr>
          <w:rFonts w:hint="eastAsia" w:ascii="仿宋_GB2312" w:hAnsi="仿宋_GB2312" w:eastAsia="仿宋_GB2312" w:cs="仿宋_GB2312"/>
          <w:sz w:val="32"/>
          <w:szCs w:val="32"/>
        </w:rPr>
        <w:t>0万元。2018年共接待国（境）外来访团组0个、来访外宾0人次（不包括陪同人员）。无来访人员。</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其他国内公务接待支出</w:t>
      </w:r>
      <w:r>
        <w:rPr>
          <w:rFonts w:hint="eastAsia" w:ascii="仿宋_GB2312" w:hAnsi="仿宋_GB2312" w:eastAsia="仿宋_GB2312" w:cs="仿宋_GB2312"/>
          <w:sz w:val="32"/>
          <w:szCs w:val="32"/>
        </w:rPr>
        <w:t>0.65万元。主要用于与省内外对口单位办案、交流工作、会议接待和接受相关相关部门检查指导工作发生的支出。2018年共接待国内来访团组18个、来宾115人次（不包括陪同人员）。</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八、预算绩效情况说明</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（一）绩效管理工作开展情况。</w:t>
      </w:r>
    </w:p>
    <w:p>
      <w:pPr>
        <w:widowControl/>
        <w:spacing w:line="59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本单位2018年度部门无绩效管理工作评价。</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（二）项目绩效自评结果。</w:t>
      </w:r>
    </w:p>
    <w:p>
      <w:pPr>
        <w:widowControl/>
        <w:spacing w:line="590" w:lineRule="exact"/>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本单位2018年度部门决算无项目绩效评价。</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九、政府性基金预算财政拨款支出决算情况说明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我部门2018年度没有政府性基金收入，也没有使用政府性基金安排的支出。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十、机关运行经费支出情况说明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2018年度机关运行经费年初预算为725.5万元，支出决算为928.81万元，完成年初预算的128.02%。决算数与年初预算数存在差异的主要原因是部分支出按规定通过统筹使用上年结转资金解决。</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十一、政府采购支出情况说明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度政府采购支出总额917.59万元，其中：政府采购货物支出824.83万元、政府采购工程支出0万元、政府采购服务支出92.76万元。授予中小企业合同金额917.59万元，占政府采购支出总额的100%，其中：授予小微企业合同金额280.13万元，占政府采购支出总额的30.53%。</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十二、国有资产占用情况说明</w:t>
      </w:r>
    </w:p>
    <w:p>
      <w:pPr>
        <w:widowControl/>
        <w:spacing w:line="59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期末，我部门共有车辆24辆，其中：省级领导干部用车0辆、主要领导干部用车0辆、机要通信用车1辆、应急保障车0辆、执法执勤用车11辆、特种专业技术用车10辆、离退休干部用车2辆、其他用车0辆；单位价值50万元以上通用设备17台（套），单位价值100万元以上专用设备8台（套）。</w:t>
      </w:r>
    </w:p>
    <w:p>
      <w:pPr>
        <w:widowControl/>
        <w:jc w:val="left"/>
        <w:rPr>
          <w:rFonts w:hint="eastAsia" w:ascii="楷体_GB2312" w:hAnsi="楷体_GB2312" w:eastAsia="楷体_GB2312" w:cs="楷体_GB2312"/>
          <w:sz w:val="32"/>
          <w:szCs w:val="32"/>
        </w:rPr>
        <w:sectPr>
          <w:pgSz w:w="11906" w:h="16838"/>
          <w:pgMar w:top="1440" w:right="1800" w:bottom="1440" w:left="1800" w:header="720" w:footer="720" w:gutter="0"/>
          <w:pgNumType w:fmt="numberInDash"/>
          <w:cols w:space="720" w:num="1"/>
          <w:docGrid w:type="lines" w:linePitch="312" w:charSpace="0"/>
        </w:sect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第四部分  名词解释</w:t>
      </w:r>
    </w:p>
    <w:p>
      <w:pPr>
        <w:jc w:val="center"/>
        <w:rPr>
          <w:rFonts w:hint="eastAsia" w:ascii="黑体" w:hAnsi="黑体" w:eastAsia="黑体" w:cs="黑体"/>
          <w:sz w:val="48"/>
          <w:szCs w:val="48"/>
        </w:rPr>
      </w:pPr>
    </w:p>
    <w:p>
      <w:pPr>
        <w:jc w:val="center"/>
        <w:outlineLvl w:val="0"/>
        <w:rPr>
          <w:rFonts w:hint="eastAsia" w:ascii="黑体" w:hAnsi="黑体" w:eastAsia="黑体" w:cs="黑体"/>
          <w:sz w:val="48"/>
          <w:szCs w:val="48"/>
        </w:rPr>
        <w:sectPr>
          <w:pgSz w:w="11906" w:h="16838"/>
          <w:pgMar w:top="1440" w:right="1531" w:bottom="1440" w:left="1587" w:header="850" w:footer="992" w:gutter="0"/>
          <w:pgNumType w:fmt="numberInDash"/>
          <w:cols w:space="720" w:num="1"/>
          <w:docGrid w:type="lines" w:linePitch="317" w:charSpace="0"/>
        </w:sectPr>
      </w:pP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六、其他收入：单位取得的除“财政拨款收入”、“事业收入”、“上级补助收入”、“附属单位上缴收入”、“经营收入”以外的各项收入。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用事业基金弥补收支差额：事业单位在当年收入不足以安排当年支出的情况下，使用以前年度积累的事业基金（事业单位当年收支相抵后按国家规定提取、用于弥补以后年度收支差额的基金）弥补当年收支缺口的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八、基本支出：为保障机构正常运转、完成日常工作任务而发生的人员支出和公用支出。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九、项目支出：基本支出之外为完成特定行政任务和事业发展目标所发生的支出。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十五、年末结转：本年度或以前年度预算安排，已执行但尚未完成或因客观条件发生变化无法按原计划实施，需延迟到以后年度按有关规定继续使用的资金。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十六、年末结余：本年度或以前年度预算安排，已执行完毕或因客观条件发生变化无法按原预算安排实施，不需要再使用或无法按原预算安排继续使用的资金。</w:t>
      </w:r>
    </w:p>
    <w:sectPr>
      <w:pgSz w:w="11906" w:h="16838"/>
      <w:pgMar w:top="1928" w:right="1474" w:bottom="170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- 23 -</w:t>
                          </w:r>
                          <w:r>
                            <w:rPr>
                              <w:rFonts w:hint="eastAsia"/>
                              <w:sz w:val="18"/>
                            </w:rP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mAWM8gBAACZAwAADgAAAGRycy9lMm9Eb2MueG1srVPNjtMwEL4j8Q6W&#10;79TZHlYl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99S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pgFjP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- 23 -</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eastAsia"/>
                            </w:rPr>
                          </w:pP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ABZBsoBAACc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4bimN33OLAL9+/XX78uvz8SpbV&#10;6k1WqA9QY+JDwNQ03PkB92b2Azoz8UFFm79IiWAc9T1f9ZVDIiI/Wq/W6wpDAmPzBfHZ4/MQIb2V&#10;3pJsNDTiAIuu/PQe0pg6p+Rqzt9rY8oQjfvLgZjZw3LvY4/ZSsN+mAjtfXtGPj3OvqEOV50S886h&#10;tHlNZiPOxn42jiHqQ1f2KNeDcHtM2ETpLVcYYafCOLTCblqwvBV/3kvW40+1/Q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HABZBsoBAACcAwAADgAAAAAAAAABACAAAAAeAQAAZHJzL2Uyb0Rv&#10;Yy54bWxQSwUGAAAAAAYABgBZAQAAWgUAAAAA&#10;">
              <v:fill on="f" focussize="0,0"/>
              <v:stroke on="f"/>
              <v:imagedata o:title=""/>
              <o:lock v:ext="edit" aspectratio="f"/>
              <v:textbox inset="0mm,0mm,0mm,0mm" style="mso-fit-shape-to-text:t;">
                <w:txbxContent>
                  <w:p>
                    <w:pPr>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- 24 -</w:t>
                          </w:r>
                          <w:r>
                            <w:rPr>
                              <w:rFonts w:hint="eastAsia"/>
                              <w:sz w:val="18"/>
                            </w:rPr>
                            <w:fldChar w:fldCharType="end"/>
                          </w: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Pe8gBAACa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gJK4rjFiZ9//jj/ejw/fCdv&#10;sz59gBrT7gImpuG9HzB39gM6M+1BRZu/SIhgHKFOF3XlkIjIj1bL1arCkMDYfEF89vQ8REgfpLck&#10;Gw2NOL6iKj9+gjSmzim5mvO32pgyQuP+ciBm9rDc+9hjttKwGyZCO9+ekE+Pk2+ow0WnxHx0KCz2&#10;l2YjzsZuNg4h6n1XtijXg/DukLCJ0luuMMJOhXFkhd20Xnkn/ryXrKdfavM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GPfz3vIAQAAmg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- 24 -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1FE3"/>
    <w:multiLevelType w:val="multilevel"/>
    <w:tmpl w:val="00171FE3"/>
    <w:lvl w:ilvl="0" w:tentative="0">
      <w:start w:val="2"/>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971BE17"/>
    <w:multiLevelType w:val="singleLevel"/>
    <w:tmpl w:val="5971BE17"/>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0E8"/>
    <w:rsid w:val="00015FB6"/>
    <w:rsid w:val="000270E8"/>
    <w:rsid w:val="00051062"/>
    <w:rsid w:val="00057AFD"/>
    <w:rsid w:val="00076410"/>
    <w:rsid w:val="000C073B"/>
    <w:rsid w:val="000C4C49"/>
    <w:rsid w:val="000F500F"/>
    <w:rsid w:val="001003F8"/>
    <w:rsid w:val="0013287B"/>
    <w:rsid w:val="00144159"/>
    <w:rsid w:val="001718A8"/>
    <w:rsid w:val="00182842"/>
    <w:rsid w:val="001905F2"/>
    <w:rsid w:val="00197BFB"/>
    <w:rsid w:val="001B5960"/>
    <w:rsid w:val="001D61B1"/>
    <w:rsid w:val="001F5040"/>
    <w:rsid w:val="002006EB"/>
    <w:rsid w:val="00224511"/>
    <w:rsid w:val="00250579"/>
    <w:rsid w:val="00260D70"/>
    <w:rsid w:val="00282C7F"/>
    <w:rsid w:val="00287811"/>
    <w:rsid w:val="002B3F94"/>
    <w:rsid w:val="002E6A86"/>
    <w:rsid w:val="00304D04"/>
    <w:rsid w:val="00305B88"/>
    <w:rsid w:val="00315FEB"/>
    <w:rsid w:val="00386A22"/>
    <w:rsid w:val="003F68CC"/>
    <w:rsid w:val="0042585F"/>
    <w:rsid w:val="004449A4"/>
    <w:rsid w:val="00445CAC"/>
    <w:rsid w:val="00472E19"/>
    <w:rsid w:val="00487869"/>
    <w:rsid w:val="004D5275"/>
    <w:rsid w:val="005065DA"/>
    <w:rsid w:val="00507364"/>
    <w:rsid w:val="00546F7C"/>
    <w:rsid w:val="00581FEB"/>
    <w:rsid w:val="00582B52"/>
    <w:rsid w:val="005A0C2F"/>
    <w:rsid w:val="005A48F7"/>
    <w:rsid w:val="005B106B"/>
    <w:rsid w:val="005B1AE2"/>
    <w:rsid w:val="006228C4"/>
    <w:rsid w:val="006512DD"/>
    <w:rsid w:val="00656BEF"/>
    <w:rsid w:val="00656D75"/>
    <w:rsid w:val="00657E86"/>
    <w:rsid w:val="00673EF7"/>
    <w:rsid w:val="0069449E"/>
    <w:rsid w:val="006C07F0"/>
    <w:rsid w:val="006C644A"/>
    <w:rsid w:val="006C7D84"/>
    <w:rsid w:val="006F6CB3"/>
    <w:rsid w:val="00711EFF"/>
    <w:rsid w:val="007148E8"/>
    <w:rsid w:val="00733DAA"/>
    <w:rsid w:val="00734D70"/>
    <w:rsid w:val="00742BA0"/>
    <w:rsid w:val="00753545"/>
    <w:rsid w:val="00764156"/>
    <w:rsid w:val="007706D7"/>
    <w:rsid w:val="007879ED"/>
    <w:rsid w:val="007A48A3"/>
    <w:rsid w:val="007C029F"/>
    <w:rsid w:val="007C7F49"/>
    <w:rsid w:val="007D2A21"/>
    <w:rsid w:val="00843461"/>
    <w:rsid w:val="00872946"/>
    <w:rsid w:val="0088023A"/>
    <w:rsid w:val="008858FB"/>
    <w:rsid w:val="00894B41"/>
    <w:rsid w:val="008B5427"/>
    <w:rsid w:val="00903F6B"/>
    <w:rsid w:val="009173F9"/>
    <w:rsid w:val="009537E9"/>
    <w:rsid w:val="00975A04"/>
    <w:rsid w:val="009C12D4"/>
    <w:rsid w:val="009E6517"/>
    <w:rsid w:val="009F546E"/>
    <w:rsid w:val="00A01E7E"/>
    <w:rsid w:val="00A079F0"/>
    <w:rsid w:val="00A3754D"/>
    <w:rsid w:val="00A57BF7"/>
    <w:rsid w:val="00A83D8A"/>
    <w:rsid w:val="00A93E7D"/>
    <w:rsid w:val="00AA260E"/>
    <w:rsid w:val="00AA44CB"/>
    <w:rsid w:val="00AA67CD"/>
    <w:rsid w:val="00AC104E"/>
    <w:rsid w:val="00AD495B"/>
    <w:rsid w:val="00AD55D5"/>
    <w:rsid w:val="00AD6761"/>
    <w:rsid w:val="00AE600E"/>
    <w:rsid w:val="00B0083B"/>
    <w:rsid w:val="00B02851"/>
    <w:rsid w:val="00B209B8"/>
    <w:rsid w:val="00B249F3"/>
    <w:rsid w:val="00B710DD"/>
    <w:rsid w:val="00BA6E97"/>
    <w:rsid w:val="00BD6A76"/>
    <w:rsid w:val="00BE5A85"/>
    <w:rsid w:val="00BE7400"/>
    <w:rsid w:val="00BF5718"/>
    <w:rsid w:val="00C126FF"/>
    <w:rsid w:val="00C3106E"/>
    <w:rsid w:val="00C60609"/>
    <w:rsid w:val="00C95CC1"/>
    <w:rsid w:val="00CA3F44"/>
    <w:rsid w:val="00CE212D"/>
    <w:rsid w:val="00CE4B38"/>
    <w:rsid w:val="00CF06C8"/>
    <w:rsid w:val="00D1321A"/>
    <w:rsid w:val="00D30ADF"/>
    <w:rsid w:val="00D6315E"/>
    <w:rsid w:val="00D652C2"/>
    <w:rsid w:val="00D6793D"/>
    <w:rsid w:val="00D74EE2"/>
    <w:rsid w:val="00D83E19"/>
    <w:rsid w:val="00DA00C9"/>
    <w:rsid w:val="00DB200E"/>
    <w:rsid w:val="00DB65F5"/>
    <w:rsid w:val="00DF4998"/>
    <w:rsid w:val="00E01C3E"/>
    <w:rsid w:val="00E13099"/>
    <w:rsid w:val="00E4339F"/>
    <w:rsid w:val="00E629EA"/>
    <w:rsid w:val="00E6777C"/>
    <w:rsid w:val="00E805CD"/>
    <w:rsid w:val="00E96AD7"/>
    <w:rsid w:val="00EA726F"/>
    <w:rsid w:val="00EB05A3"/>
    <w:rsid w:val="00ED38B7"/>
    <w:rsid w:val="00EE051D"/>
    <w:rsid w:val="00F0131A"/>
    <w:rsid w:val="00F14C17"/>
    <w:rsid w:val="00F17041"/>
    <w:rsid w:val="00F364B5"/>
    <w:rsid w:val="00F44937"/>
    <w:rsid w:val="00F61A47"/>
    <w:rsid w:val="00F84422"/>
    <w:rsid w:val="00F95455"/>
    <w:rsid w:val="00FA574D"/>
    <w:rsid w:val="00FB441C"/>
    <w:rsid w:val="00FE7AD9"/>
    <w:rsid w:val="00FF6F38"/>
    <w:rsid w:val="01322275"/>
    <w:rsid w:val="01DC6F05"/>
    <w:rsid w:val="02A3489A"/>
    <w:rsid w:val="02CA138D"/>
    <w:rsid w:val="033646FC"/>
    <w:rsid w:val="03C75F80"/>
    <w:rsid w:val="0478364D"/>
    <w:rsid w:val="053D4C0D"/>
    <w:rsid w:val="0557532E"/>
    <w:rsid w:val="07157620"/>
    <w:rsid w:val="0799329C"/>
    <w:rsid w:val="086F16A7"/>
    <w:rsid w:val="0A0F7225"/>
    <w:rsid w:val="0A2B7D82"/>
    <w:rsid w:val="0ADC40E9"/>
    <w:rsid w:val="0AE607F4"/>
    <w:rsid w:val="0B451598"/>
    <w:rsid w:val="0BE56A53"/>
    <w:rsid w:val="0BEB609E"/>
    <w:rsid w:val="0BEC73F4"/>
    <w:rsid w:val="0C392698"/>
    <w:rsid w:val="0E283A52"/>
    <w:rsid w:val="10BD36F6"/>
    <w:rsid w:val="11BF0649"/>
    <w:rsid w:val="123E3E08"/>
    <w:rsid w:val="13D22E22"/>
    <w:rsid w:val="14A35B1D"/>
    <w:rsid w:val="161C2DFF"/>
    <w:rsid w:val="16373578"/>
    <w:rsid w:val="16D3336B"/>
    <w:rsid w:val="17806C36"/>
    <w:rsid w:val="17A74F62"/>
    <w:rsid w:val="18A47774"/>
    <w:rsid w:val="1B2E6FD8"/>
    <w:rsid w:val="1B877D21"/>
    <w:rsid w:val="1C4319A9"/>
    <w:rsid w:val="1E0B74A5"/>
    <w:rsid w:val="1E443B4B"/>
    <w:rsid w:val="1E994F4A"/>
    <w:rsid w:val="1EAF0224"/>
    <w:rsid w:val="1F2230A4"/>
    <w:rsid w:val="20210932"/>
    <w:rsid w:val="202448E0"/>
    <w:rsid w:val="21302EEA"/>
    <w:rsid w:val="22376FB5"/>
    <w:rsid w:val="23E152D7"/>
    <w:rsid w:val="255D43C8"/>
    <w:rsid w:val="26722EA1"/>
    <w:rsid w:val="26876BDD"/>
    <w:rsid w:val="2714632A"/>
    <w:rsid w:val="27B0539E"/>
    <w:rsid w:val="29365CF8"/>
    <w:rsid w:val="299469B3"/>
    <w:rsid w:val="2A805789"/>
    <w:rsid w:val="2ADC0D75"/>
    <w:rsid w:val="2B4A0E52"/>
    <w:rsid w:val="2B7661A3"/>
    <w:rsid w:val="2C975890"/>
    <w:rsid w:val="2D1C3D67"/>
    <w:rsid w:val="2DEF21BB"/>
    <w:rsid w:val="2E4A2F05"/>
    <w:rsid w:val="2ECC1061"/>
    <w:rsid w:val="2FA476AD"/>
    <w:rsid w:val="303F7540"/>
    <w:rsid w:val="31DD00BF"/>
    <w:rsid w:val="3293174C"/>
    <w:rsid w:val="32BB38D4"/>
    <w:rsid w:val="32C9376D"/>
    <w:rsid w:val="33780472"/>
    <w:rsid w:val="33AF0905"/>
    <w:rsid w:val="355932F4"/>
    <w:rsid w:val="35611882"/>
    <w:rsid w:val="36746FC3"/>
    <w:rsid w:val="368763AE"/>
    <w:rsid w:val="395D59E7"/>
    <w:rsid w:val="39707130"/>
    <w:rsid w:val="39A93932"/>
    <w:rsid w:val="3A915562"/>
    <w:rsid w:val="3B4E1D7F"/>
    <w:rsid w:val="3B8D4765"/>
    <w:rsid w:val="3C000DBA"/>
    <w:rsid w:val="3DC045D3"/>
    <w:rsid w:val="3E504FFB"/>
    <w:rsid w:val="3E615CD0"/>
    <w:rsid w:val="3E9C47F6"/>
    <w:rsid w:val="3F8B0112"/>
    <w:rsid w:val="3FAB3095"/>
    <w:rsid w:val="3FE45947"/>
    <w:rsid w:val="41242965"/>
    <w:rsid w:val="435671EA"/>
    <w:rsid w:val="440809E9"/>
    <w:rsid w:val="442407A6"/>
    <w:rsid w:val="447B5E17"/>
    <w:rsid w:val="44805EA1"/>
    <w:rsid w:val="45710696"/>
    <w:rsid w:val="46142B1B"/>
    <w:rsid w:val="47E60DD0"/>
    <w:rsid w:val="48735039"/>
    <w:rsid w:val="492C684B"/>
    <w:rsid w:val="49500594"/>
    <w:rsid w:val="49E433E7"/>
    <w:rsid w:val="49E7604E"/>
    <w:rsid w:val="4A9E0A05"/>
    <w:rsid w:val="4BF67CDD"/>
    <w:rsid w:val="4D173441"/>
    <w:rsid w:val="4D603DD6"/>
    <w:rsid w:val="4EBF010F"/>
    <w:rsid w:val="4F471EB0"/>
    <w:rsid w:val="51331326"/>
    <w:rsid w:val="51740A7F"/>
    <w:rsid w:val="51A5541E"/>
    <w:rsid w:val="51C96242"/>
    <w:rsid w:val="53906AE1"/>
    <w:rsid w:val="54F46F60"/>
    <w:rsid w:val="55A37BEA"/>
    <w:rsid w:val="56362CD2"/>
    <w:rsid w:val="5784687B"/>
    <w:rsid w:val="57846959"/>
    <w:rsid w:val="578E6A87"/>
    <w:rsid w:val="5A286ED1"/>
    <w:rsid w:val="5AC2203A"/>
    <w:rsid w:val="5CBB3334"/>
    <w:rsid w:val="5D115FAF"/>
    <w:rsid w:val="62811722"/>
    <w:rsid w:val="62E75A72"/>
    <w:rsid w:val="64571880"/>
    <w:rsid w:val="648C4D37"/>
    <w:rsid w:val="649125B6"/>
    <w:rsid w:val="652F4C1A"/>
    <w:rsid w:val="666D37F1"/>
    <w:rsid w:val="67087D8F"/>
    <w:rsid w:val="671F687E"/>
    <w:rsid w:val="67F415F8"/>
    <w:rsid w:val="682640D1"/>
    <w:rsid w:val="684B73E5"/>
    <w:rsid w:val="6A047A2A"/>
    <w:rsid w:val="6B3808DF"/>
    <w:rsid w:val="6EFB7548"/>
    <w:rsid w:val="6F3831C3"/>
    <w:rsid w:val="6F8B71C1"/>
    <w:rsid w:val="70753482"/>
    <w:rsid w:val="707B522A"/>
    <w:rsid w:val="72DB7760"/>
    <w:rsid w:val="73194D05"/>
    <w:rsid w:val="73A83B0E"/>
    <w:rsid w:val="744D3EF9"/>
    <w:rsid w:val="74794411"/>
    <w:rsid w:val="75867C40"/>
    <w:rsid w:val="75B10B26"/>
    <w:rsid w:val="76432199"/>
    <w:rsid w:val="76F44829"/>
    <w:rsid w:val="77A267C0"/>
    <w:rsid w:val="78882278"/>
    <w:rsid w:val="78B118A6"/>
    <w:rsid w:val="79135044"/>
    <w:rsid w:val="7A7D0F99"/>
    <w:rsid w:val="7E182ACE"/>
    <w:rsid w:val="7E4A0E7C"/>
    <w:rsid w:val="7EFD449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5"/>
    <w:unhideWhenUsed/>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unhideWhenUsed/>
    <w:qFormat/>
    <w:uiPriority w:val="99"/>
    <w:rPr>
      <w:color w:val="800080"/>
      <w:u w:val="single"/>
    </w:rPr>
  </w:style>
  <w:style w:type="character" w:styleId="9">
    <w:name w:val="Hyperlink"/>
    <w:unhideWhenUsed/>
    <w:qFormat/>
    <w:uiPriority w:val="99"/>
    <w:rPr>
      <w:color w:val="0000FF"/>
      <w:u w:val="single"/>
    </w:rPr>
  </w:style>
  <w:style w:type="character" w:customStyle="1" w:styleId="10">
    <w:name w:val="font41"/>
    <w:basedOn w:val="7"/>
    <w:qFormat/>
    <w:uiPriority w:val="0"/>
    <w:rPr>
      <w:rFonts w:hint="eastAsia" w:ascii="宋体" w:hAnsi="宋体" w:eastAsia="宋体" w:cs="宋体"/>
      <w:color w:val="000000"/>
      <w:sz w:val="24"/>
      <w:szCs w:val="24"/>
      <w:u w:val="none"/>
    </w:rPr>
  </w:style>
  <w:style w:type="character" w:customStyle="1" w:styleId="11">
    <w:name w:val="font51"/>
    <w:basedOn w:val="7"/>
    <w:qFormat/>
    <w:uiPriority w:val="0"/>
    <w:rPr>
      <w:rFonts w:hint="eastAsia" w:ascii="宋体" w:hAnsi="宋体" w:eastAsia="宋体" w:cs="宋体"/>
      <w:color w:val="000000"/>
      <w:sz w:val="24"/>
      <w:szCs w:val="24"/>
      <w:u w:val="none"/>
    </w:rPr>
  </w:style>
  <w:style w:type="character" w:customStyle="1" w:styleId="12">
    <w:name w:val="批注框文本 Char"/>
    <w:basedOn w:val="7"/>
    <w:link w:val="2"/>
    <w:semiHidden/>
    <w:qFormat/>
    <w:uiPriority w:val="99"/>
    <w:rPr>
      <w:kern w:val="2"/>
      <w:sz w:val="18"/>
      <w:szCs w:val="18"/>
    </w:rPr>
  </w:style>
  <w:style w:type="character" w:customStyle="1" w:styleId="13">
    <w:name w:val="font11"/>
    <w:basedOn w:val="7"/>
    <w:qFormat/>
    <w:uiPriority w:val="0"/>
    <w:rPr>
      <w:rFonts w:hint="eastAsia" w:ascii="宋体" w:hAnsi="宋体" w:eastAsia="宋体" w:cs="宋体"/>
      <w:color w:val="000000"/>
      <w:sz w:val="20"/>
      <w:szCs w:val="20"/>
      <w:u w:val="none"/>
    </w:rPr>
  </w:style>
  <w:style w:type="character" w:customStyle="1" w:styleId="14">
    <w:name w:val="页眉 Char"/>
    <w:link w:val="4"/>
    <w:qFormat/>
    <w:uiPriority w:val="99"/>
    <w:rPr>
      <w:kern w:val="2"/>
      <w:sz w:val="18"/>
      <w:szCs w:val="18"/>
    </w:rPr>
  </w:style>
  <w:style w:type="character" w:customStyle="1" w:styleId="15">
    <w:name w:val="页脚 Char"/>
    <w:link w:val="3"/>
    <w:qFormat/>
    <w:uiPriority w:val="99"/>
    <w:rPr>
      <w:kern w:val="2"/>
      <w:sz w:val="18"/>
      <w:szCs w:val="18"/>
    </w:rPr>
  </w:style>
  <w:style w:type="character" w:customStyle="1" w:styleId="16">
    <w:name w:val="font01"/>
    <w:basedOn w:val="7"/>
    <w:qFormat/>
    <w:uiPriority w:val="0"/>
    <w:rPr>
      <w:rFonts w:hint="eastAsia" w:ascii="宋体" w:hAnsi="宋体" w:eastAsia="宋体" w:cs="宋体"/>
      <w:color w:val="000000"/>
      <w:sz w:val="22"/>
      <w:szCs w:val="22"/>
      <w:u w:val="none"/>
    </w:rPr>
  </w:style>
  <w:style w:type="character" w:customStyle="1" w:styleId="17">
    <w:name w:val="font21"/>
    <w:basedOn w:val="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emf"/><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 User</Company>
  <Pages>28</Pages>
  <Words>909</Words>
  <Characters>5187</Characters>
  <Lines>43</Lines>
  <Paragraphs>12</Paragraphs>
  <TotalTime>1</TotalTime>
  <ScaleCrop>false</ScaleCrop>
  <LinksUpToDate>false</LinksUpToDate>
  <CharactersWithSpaces>6084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2007-11-29T03:41:00Z</dcterms:created>
  <dc:creator>管理者</dc:creator>
  <cp:lastModifiedBy>lenovo</cp:lastModifiedBy>
  <cp:lastPrinted>2019-09-11T08:41:00Z</cp:lastPrinted>
  <dcterms:modified xsi:type="dcterms:W3CDTF">2019-09-05T02:50:57Z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C1AE2D9989F04AA585B8EAC534F45150</vt:lpwstr>
  </property>
</Properties>
</file>